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Pr="00B454D6" w:rsidRDefault="008B26AA" w:rsidP="00DB1AB3">
      <w:pPr>
        <w:pStyle w:val="Infotext"/>
        <w:spacing w:after="480"/>
        <w:rPr>
          <w:rFonts w:ascii="Arial Black" w:hAnsi="Arial Black"/>
          <w:color w:val="999999"/>
          <w:sz w:val="36"/>
          <w:szCs w:val="36"/>
        </w:rPr>
      </w:pPr>
      <w:r w:rsidRPr="00B454D6">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186710" w:rsidRPr="00B454D6" w14:paraId="73A0496E" w14:textId="77777777" w:rsidTr="005337B2">
        <w:trPr>
          <w:tblHeader/>
        </w:trPr>
        <w:tc>
          <w:tcPr>
            <w:tcW w:w="3474" w:type="dxa"/>
            <w:tcBorders>
              <w:bottom w:val="single" w:sz="18" w:space="0" w:color="auto"/>
            </w:tcBorders>
          </w:tcPr>
          <w:p w14:paraId="747348DD" w14:textId="77777777" w:rsidR="005441BD" w:rsidRPr="00B454D6" w:rsidRDefault="00DB1AB3" w:rsidP="005337B2">
            <w:pPr>
              <w:pStyle w:val="Heading1"/>
            </w:pPr>
            <w:r w:rsidRPr="00B454D6">
              <w:t>Report for:</w:t>
            </w:r>
          </w:p>
          <w:p w14:paraId="05BF3901" w14:textId="77777777" w:rsidR="005441BD" w:rsidRPr="00B454D6" w:rsidRDefault="005441BD" w:rsidP="005337B2">
            <w:pPr>
              <w:pStyle w:val="Heading1"/>
            </w:pPr>
          </w:p>
        </w:tc>
        <w:tc>
          <w:tcPr>
            <w:tcW w:w="5051" w:type="dxa"/>
            <w:tcBorders>
              <w:bottom w:val="single" w:sz="18" w:space="0" w:color="auto"/>
            </w:tcBorders>
          </w:tcPr>
          <w:p w14:paraId="0ED09993" w14:textId="51BBF979" w:rsidR="00B26D5D" w:rsidRPr="00B454D6" w:rsidRDefault="00200994" w:rsidP="00200994">
            <w:pPr>
              <w:pStyle w:val="Heading1"/>
              <w:rPr>
                <w:szCs w:val="28"/>
              </w:rPr>
            </w:pPr>
            <w:r w:rsidRPr="00B454D6">
              <w:t>Planning Policy</w:t>
            </w:r>
            <w:r w:rsidR="00DB1AB3" w:rsidRPr="00B454D6">
              <w:t xml:space="preserve"> Advisory Panel</w:t>
            </w:r>
          </w:p>
        </w:tc>
      </w:tr>
      <w:tr w:rsidR="005441BD" w:rsidRPr="00B454D6" w14:paraId="1D86A18F" w14:textId="77777777">
        <w:tc>
          <w:tcPr>
            <w:tcW w:w="3474" w:type="dxa"/>
            <w:tcBorders>
              <w:top w:val="single" w:sz="18" w:space="0" w:color="auto"/>
            </w:tcBorders>
          </w:tcPr>
          <w:p w14:paraId="672E0788" w14:textId="77777777" w:rsidR="005441BD" w:rsidRPr="00B454D6" w:rsidRDefault="005441BD" w:rsidP="005337B2">
            <w:pPr>
              <w:pStyle w:val="Infotext"/>
              <w:spacing w:after="240"/>
              <w:rPr>
                <w:rFonts w:ascii="Arial Black" w:hAnsi="Arial Black" w:cs="Arial"/>
              </w:rPr>
            </w:pPr>
            <w:r w:rsidRPr="00B454D6">
              <w:rPr>
                <w:rFonts w:ascii="Arial Black" w:hAnsi="Arial Black"/>
              </w:rPr>
              <w:t>Date</w:t>
            </w:r>
            <w:r w:rsidR="007A012E" w:rsidRPr="00B454D6">
              <w:rPr>
                <w:rFonts w:ascii="Arial Black" w:hAnsi="Arial Black"/>
              </w:rPr>
              <w:t xml:space="preserve"> of Meeting</w:t>
            </w:r>
            <w:r w:rsidRPr="00B454D6">
              <w:rPr>
                <w:rFonts w:ascii="Arial Black" w:hAnsi="Arial Black"/>
              </w:rPr>
              <w:t>:</w:t>
            </w:r>
          </w:p>
        </w:tc>
        <w:tc>
          <w:tcPr>
            <w:tcW w:w="5051" w:type="dxa"/>
            <w:tcBorders>
              <w:top w:val="single" w:sz="18" w:space="0" w:color="auto"/>
            </w:tcBorders>
          </w:tcPr>
          <w:p w14:paraId="6BE3CEEF" w14:textId="15B6DE21" w:rsidR="005441BD" w:rsidRPr="00B454D6" w:rsidRDefault="00A3612C">
            <w:pPr>
              <w:pStyle w:val="Infotext"/>
              <w:rPr>
                <w:rFonts w:cs="Arial"/>
                <w:sz w:val="24"/>
                <w:szCs w:val="24"/>
              </w:rPr>
            </w:pPr>
            <w:r>
              <w:rPr>
                <w:rFonts w:cs="Arial"/>
                <w:sz w:val="24"/>
                <w:szCs w:val="24"/>
              </w:rPr>
              <w:t>2 November 2023</w:t>
            </w:r>
          </w:p>
        </w:tc>
      </w:tr>
      <w:tr w:rsidR="005441BD" w:rsidRPr="00B454D6" w14:paraId="06DAEBB8" w14:textId="77777777">
        <w:tc>
          <w:tcPr>
            <w:tcW w:w="3474" w:type="dxa"/>
          </w:tcPr>
          <w:p w14:paraId="50F0B2CE" w14:textId="77777777" w:rsidR="005441BD" w:rsidRPr="00B454D6" w:rsidRDefault="005441BD" w:rsidP="005337B2">
            <w:pPr>
              <w:pStyle w:val="Infotext"/>
              <w:spacing w:after="240"/>
              <w:rPr>
                <w:rFonts w:ascii="Arial Black" w:hAnsi="Arial Black"/>
              </w:rPr>
            </w:pPr>
            <w:r w:rsidRPr="00B454D6">
              <w:rPr>
                <w:rFonts w:ascii="Arial Black" w:hAnsi="Arial Black" w:cs="Arial"/>
              </w:rPr>
              <w:t>Subject:</w:t>
            </w:r>
          </w:p>
        </w:tc>
        <w:tc>
          <w:tcPr>
            <w:tcW w:w="5051" w:type="dxa"/>
          </w:tcPr>
          <w:p w14:paraId="3540AABC" w14:textId="75A64A4A" w:rsidR="005441BD" w:rsidRPr="00B454D6" w:rsidRDefault="007E523F">
            <w:pPr>
              <w:pStyle w:val="Infotext"/>
              <w:rPr>
                <w:rFonts w:cs="Arial"/>
                <w:sz w:val="24"/>
                <w:szCs w:val="24"/>
              </w:rPr>
            </w:pPr>
            <w:r w:rsidRPr="007E523F">
              <w:rPr>
                <w:rFonts w:cs="Arial"/>
                <w:sz w:val="24"/>
                <w:szCs w:val="24"/>
              </w:rPr>
              <w:t>New Harrow Local Plan – draft Spatial Vision and Objectives</w:t>
            </w:r>
          </w:p>
          <w:p w14:paraId="3D086A18" w14:textId="0DF96FBF" w:rsidR="00200994" w:rsidRPr="00B454D6" w:rsidRDefault="00200994">
            <w:pPr>
              <w:pStyle w:val="Infotext"/>
              <w:rPr>
                <w:rFonts w:cs="Arial"/>
                <w:sz w:val="24"/>
                <w:szCs w:val="24"/>
              </w:rPr>
            </w:pPr>
          </w:p>
        </w:tc>
      </w:tr>
      <w:tr w:rsidR="005441BD" w:rsidRPr="00B454D6" w14:paraId="10A4A937" w14:textId="77777777">
        <w:tc>
          <w:tcPr>
            <w:tcW w:w="3474" w:type="dxa"/>
          </w:tcPr>
          <w:p w14:paraId="1791B2E2" w14:textId="77777777" w:rsidR="005441BD" w:rsidRPr="00B454D6" w:rsidRDefault="005441BD" w:rsidP="005337B2">
            <w:pPr>
              <w:pStyle w:val="Infotext"/>
              <w:spacing w:after="240"/>
            </w:pPr>
            <w:r w:rsidRPr="00B454D6">
              <w:rPr>
                <w:rFonts w:ascii="Arial Black" w:hAnsi="Arial Black" w:cs="Arial"/>
              </w:rPr>
              <w:t>Key Decision:</w:t>
            </w:r>
          </w:p>
        </w:tc>
        <w:tc>
          <w:tcPr>
            <w:tcW w:w="5051" w:type="dxa"/>
          </w:tcPr>
          <w:p w14:paraId="2AB88A6F" w14:textId="498C7E19" w:rsidR="008D0B76" w:rsidRPr="00B454D6" w:rsidRDefault="00200994">
            <w:pPr>
              <w:pStyle w:val="Infotext"/>
              <w:rPr>
                <w:rFonts w:cs="Arial"/>
                <w:sz w:val="24"/>
                <w:szCs w:val="24"/>
              </w:rPr>
            </w:pPr>
            <w:r w:rsidRPr="00B454D6">
              <w:rPr>
                <w:rFonts w:cs="Arial"/>
                <w:sz w:val="24"/>
                <w:szCs w:val="24"/>
              </w:rPr>
              <w:t xml:space="preserve">No – information </w:t>
            </w:r>
            <w:proofErr w:type="gramStart"/>
            <w:r w:rsidRPr="00B454D6">
              <w:rPr>
                <w:rFonts w:cs="Arial"/>
                <w:sz w:val="24"/>
                <w:szCs w:val="24"/>
              </w:rPr>
              <w:t>only</w:t>
            </w:r>
            <w:proofErr w:type="gramEnd"/>
          </w:p>
          <w:p w14:paraId="04A387FD" w14:textId="77777777" w:rsidR="0099076B" w:rsidRPr="00B454D6" w:rsidRDefault="0099076B">
            <w:pPr>
              <w:pStyle w:val="Infotext"/>
              <w:rPr>
                <w:rFonts w:cs="Arial"/>
                <w:sz w:val="24"/>
                <w:szCs w:val="24"/>
              </w:rPr>
            </w:pPr>
          </w:p>
        </w:tc>
      </w:tr>
      <w:tr w:rsidR="005441BD" w:rsidRPr="00B454D6" w14:paraId="454ADD95" w14:textId="77777777">
        <w:tc>
          <w:tcPr>
            <w:tcW w:w="3474" w:type="dxa"/>
          </w:tcPr>
          <w:p w14:paraId="17FC4E38"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Responsible Officer:</w:t>
            </w:r>
          </w:p>
        </w:tc>
        <w:tc>
          <w:tcPr>
            <w:tcW w:w="5051" w:type="dxa"/>
          </w:tcPr>
          <w:p w14:paraId="29113744" w14:textId="77777777" w:rsidR="00036698" w:rsidRPr="00B454D6" w:rsidRDefault="00200994">
            <w:pPr>
              <w:pStyle w:val="Infotext"/>
              <w:rPr>
                <w:rFonts w:cs="Arial"/>
                <w:sz w:val="24"/>
                <w:szCs w:val="24"/>
              </w:rPr>
            </w:pPr>
            <w:r w:rsidRPr="00B454D6">
              <w:rPr>
                <w:rFonts w:cs="Arial"/>
                <w:sz w:val="24"/>
                <w:szCs w:val="24"/>
              </w:rPr>
              <w:t xml:space="preserve">Viv Evans, Chief Planning Officer </w:t>
            </w:r>
          </w:p>
          <w:p w14:paraId="5A693F2F" w14:textId="77777777" w:rsidR="002F0916" w:rsidRPr="00B454D6" w:rsidRDefault="002F0916">
            <w:pPr>
              <w:pStyle w:val="Infotext"/>
              <w:rPr>
                <w:rFonts w:cs="Arial"/>
                <w:sz w:val="24"/>
                <w:szCs w:val="24"/>
              </w:rPr>
            </w:pPr>
          </w:p>
          <w:p w14:paraId="3EC58811" w14:textId="40B0E739" w:rsidR="002F0916" w:rsidRPr="00B454D6" w:rsidRDefault="002E2B47">
            <w:pPr>
              <w:pStyle w:val="Infotext"/>
              <w:rPr>
                <w:rFonts w:cs="Arial"/>
                <w:sz w:val="24"/>
                <w:szCs w:val="24"/>
              </w:rPr>
            </w:pPr>
            <w:r>
              <w:rPr>
                <w:rFonts w:cs="Arial"/>
                <w:sz w:val="24"/>
                <w:szCs w:val="24"/>
              </w:rPr>
              <w:t>Emma Talbot</w:t>
            </w:r>
            <w:r w:rsidR="002F0916" w:rsidRPr="00B454D6">
              <w:rPr>
                <w:rFonts w:cs="Arial"/>
                <w:sz w:val="24"/>
                <w:szCs w:val="24"/>
              </w:rPr>
              <w:t xml:space="preserve">, </w:t>
            </w:r>
            <w:r w:rsidR="00FB0733" w:rsidRPr="00B454D6">
              <w:rPr>
                <w:rFonts w:cs="Arial"/>
                <w:sz w:val="24"/>
                <w:szCs w:val="24"/>
              </w:rPr>
              <w:t xml:space="preserve">Director of </w:t>
            </w:r>
            <w:r>
              <w:rPr>
                <w:rFonts w:cs="Arial"/>
                <w:sz w:val="24"/>
                <w:szCs w:val="24"/>
              </w:rPr>
              <w:t xml:space="preserve">Regeneration and Sustainable Development </w:t>
            </w:r>
          </w:p>
          <w:p w14:paraId="5ED24FC3" w14:textId="5A530A78" w:rsidR="002F0916" w:rsidRPr="00B454D6" w:rsidRDefault="002F0916">
            <w:pPr>
              <w:pStyle w:val="Infotext"/>
              <w:rPr>
                <w:rFonts w:cs="Arial"/>
                <w:sz w:val="24"/>
                <w:szCs w:val="24"/>
              </w:rPr>
            </w:pPr>
          </w:p>
        </w:tc>
      </w:tr>
      <w:tr w:rsidR="005441BD" w:rsidRPr="00B454D6" w14:paraId="67151276" w14:textId="77777777">
        <w:tc>
          <w:tcPr>
            <w:tcW w:w="3474" w:type="dxa"/>
          </w:tcPr>
          <w:p w14:paraId="64236CA0"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Portfolio Holder:</w:t>
            </w:r>
          </w:p>
        </w:tc>
        <w:tc>
          <w:tcPr>
            <w:tcW w:w="5051" w:type="dxa"/>
          </w:tcPr>
          <w:p w14:paraId="2052E254" w14:textId="7C172541" w:rsidR="008D0B76" w:rsidRPr="00B454D6" w:rsidRDefault="00200994">
            <w:pPr>
              <w:pStyle w:val="Infotext"/>
              <w:rPr>
                <w:rFonts w:cs="Arial"/>
                <w:sz w:val="24"/>
                <w:szCs w:val="24"/>
              </w:rPr>
            </w:pPr>
            <w:r w:rsidRPr="00B454D6">
              <w:rPr>
                <w:rFonts w:cs="Arial"/>
                <w:sz w:val="24"/>
                <w:szCs w:val="24"/>
              </w:rPr>
              <w:t>Councillor Marilyn Ashton, Deputy Leader of the Council, Planning &amp; Regeneration Portfolio Holder</w:t>
            </w:r>
          </w:p>
          <w:p w14:paraId="4D94F8AE" w14:textId="4643564F" w:rsidR="00200994" w:rsidRPr="00B454D6" w:rsidRDefault="00200994">
            <w:pPr>
              <w:pStyle w:val="Infotext"/>
              <w:rPr>
                <w:rFonts w:cs="Arial"/>
                <w:sz w:val="24"/>
                <w:szCs w:val="24"/>
              </w:rPr>
            </w:pPr>
          </w:p>
        </w:tc>
      </w:tr>
      <w:tr w:rsidR="005441BD" w:rsidRPr="00B454D6" w14:paraId="16E0D62B" w14:textId="77777777">
        <w:tc>
          <w:tcPr>
            <w:tcW w:w="3474" w:type="dxa"/>
          </w:tcPr>
          <w:p w14:paraId="2E721E3F"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Exempt:</w:t>
            </w:r>
          </w:p>
        </w:tc>
        <w:tc>
          <w:tcPr>
            <w:tcW w:w="5051" w:type="dxa"/>
          </w:tcPr>
          <w:p w14:paraId="6AFF2782" w14:textId="1BEBF5D9" w:rsidR="005441BD" w:rsidRPr="00B454D6" w:rsidRDefault="005441BD">
            <w:pPr>
              <w:pStyle w:val="Infotext"/>
              <w:rPr>
                <w:rFonts w:cs="Arial"/>
                <w:sz w:val="24"/>
                <w:szCs w:val="24"/>
              </w:rPr>
            </w:pPr>
            <w:r w:rsidRPr="00B454D6">
              <w:rPr>
                <w:rFonts w:cs="Arial"/>
                <w:sz w:val="24"/>
                <w:szCs w:val="24"/>
              </w:rPr>
              <w:t>No</w:t>
            </w:r>
          </w:p>
          <w:p w14:paraId="401C4070" w14:textId="77777777" w:rsidR="0099076B" w:rsidRPr="00B454D6" w:rsidRDefault="0099076B" w:rsidP="00200994">
            <w:pPr>
              <w:pStyle w:val="Infotext"/>
              <w:rPr>
                <w:rFonts w:cs="Arial"/>
                <w:sz w:val="24"/>
                <w:szCs w:val="24"/>
              </w:rPr>
            </w:pPr>
          </w:p>
        </w:tc>
      </w:tr>
      <w:tr w:rsidR="0099076B" w:rsidRPr="00B454D6" w14:paraId="46C1B06C" w14:textId="77777777">
        <w:tc>
          <w:tcPr>
            <w:tcW w:w="3474" w:type="dxa"/>
          </w:tcPr>
          <w:p w14:paraId="4A84DC0E" w14:textId="77777777" w:rsidR="0099076B" w:rsidRPr="00B454D6" w:rsidRDefault="0099076B" w:rsidP="005337B2">
            <w:pPr>
              <w:pStyle w:val="Infotext"/>
              <w:spacing w:after="240"/>
              <w:rPr>
                <w:rFonts w:ascii="Arial Black" w:hAnsi="Arial Black" w:cs="Arial"/>
              </w:rPr>
            </w:pPr>
            <w:r w:rsidRPr="00B454D6">
              <w:rPr>
                <w:rFonts w:ascii="Arial Black" w:hAnsi="Arial Black" w:cs="Arial"/>
              </w:rPr>
              <w:t>Decision subject to Call-in:</w:t>
            </w:r>
          </w:p>
        </w:tc>
        <w:tc>
          <w:tcPr>
            <w:tcW w:w="5051" w:type="dxa"/>
          </w:tcPr>
          <w:p w14:paraId="62A06EC7" w14:textId="47041399" w:rsidR="00C4117C" w:rsidRPr="00B454D6" w:rsidRDefault="00200994">
            <w:pPr>
              <w:pStyle w:val="Infotext"/>
              <w:rPr>
                <w:rFonts w:cs="Arial"/>
                <w:sz w:val="24"/>
                <w:szCs w:val="24"/>
              </w:rPr>
            </w:pPr>
            <w:r w:rsidRPr="00B454D6">
              <w:rPr>
                <w:rFonts w:cs="Arial"/>
                <w:sz w:val="24"/>
                <w:szCs w:val="24"/>
              </w:rPr>
              <w:t xml:space="preserve">No – for information </w:t>
            </w:r>
            <w:proofErr w:type="gramStart"/>
            <w:r w:rsidRPr="00B454D6">
              <w:rPr>
                <w:rFonts w:cs="Arial"/>
                <w:sz w:val="24"/>
                <w:szCs w:val="24"/>
              </w:rPr>
              <w:t>only</w:t>
            </w:r>
            <w:proofErr w:type="gramEnd"/>
          </w:p>
          <w:p w14:paraId="3FC6C007" w14:textId="77777777" w:rsidR="000D5D8B" w:rsidRPr="00B454D6" w:rsidRDefault="000D5D8B">
            <w:pPr>
              <w:pStyle w:val="Infotext"/>
              <w:rPr>
                <w:rFonts w:cs="Arial"/>
                <w:sz w:val="24"/>
                <w:szCs w:val="24"/>
              </w:rPr>
            </w:pPr>
          </w:p>
        </w:tc>
      </w:tr>
      <w:tr w:rsidR="0064262B" w:rsidRPr="00B454D6" w14:paraId="73CF4E26" w14:textId="77777777">
        <w:tc>
          <w:tcPr>
            <w:tcW w:w="3474" w:type="dxa"/>
          </w:tcPr>
          <w:p w14:paraId="0F99FDF2" w14:textId="77777777" w:rsidR="00D54435" w:rsidRPr="00B454D6" w:rsidRDefault="0064262B" w:rsidP="005337B2">
            <w:pPr>
              <w:pStyle w:val="Infotext"/>
              <w:spacing w:after="240"/>
              <w:rPr>
                <w:rFonts w:ascii="Arial Black" w:hAnsi="Arial Black" w:cs="Arial"/>
              </w:rPr>
            </w:pPr>
            <w:r w:rsidRPr="00B454D6">
              <w:rPr>
                <w:rFonts w:ascii="Arial Black" w:hAnsi="Arial Black" w:cs="Arial"/>
              </w:rPr>
              <w:t>Wards affected:</w:t>
            </w:r>
          </w:p>
        </w:tc>
        <w:tc>
          <w:tcPr>
            <w:tcW w:w="5051" w:type="dxa"/>
          </w:tcPr>
          <w:p w14:paraId="76AA06AF" w14:textId="42BD4661" w:rsidR="0064262B" w:rsidRPr="00B454D6" w:rsidRDefault="00200994" w:rsidP="002D7BE3">
            <w:pPr>
              <w:pStyle w:val="Infotext"/>
              <w:rPr>
                <w:rFonts w:cs="Arial"/>
                <w:sz w:val="24"/>
                <w:szCs w:val="24"/>
              </w:rPr>
            </w:pPr>
            <w:r w:rsidRPr="00B454D6">
              <w:rPr>
                <w:rFonts w:cs="Arial"/>
                <w:sz w:val="24"/>
                <w:szCs w:val="24"/>
              </w:rPr>
              <w:t>All Wards</w:t>
            </w:r>
          </w:p>
        </w:tc>
      </w:tr>
      <w:tr w:rsidR="005441BD" w:rsidRPr="00B454D6" w14:paraId="3A7EFAEE" w14:textId="77777777">
        <w:tc>
          <w:tcPr>
            <w:tcW w:w="3474" w:type="dxa"/>
          </w:tcPr>
          <w:p w14:paraId="72F5FB44"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Enclosures:</w:t>
            </w:r>
          </w:p>
        </w:tc>
        <w:tc>
          <w:tcPr>
            <w:tcW w:w="5051" w:type="dxa"/>
          </w:tcPr>
          <w:p w14:paraId="21D22569" w14:textId="312235A7" w:rsidR="0063322C" w:rsidRDefault="0063322C">
            <w:pPr>
              <w:pStyle w:val="Infotext"/>
              <w:rPr>
                <w:rFonts w:cs="Arial"/>
                <w:sz w:val="24"/>
                <w:szCs w:val="24"/>
              </w:rPr>
            </w:pPr>
            <w:r>
              <w:rPr>
                <w:rFonts w:cs="Arial"/>
                <w:sz w:val="24"/>
                <w:szCs w:val="24"/>
              </w:rPr>
              <w:t>Appendix 1 – Draft Local Plan Table of Contents</w:t>
            </w:r>
          </w:p>
          <w:p w14:paraId="386EB950" w14:textId="5292D4F2" w:rsidR="008D0B76" w:rsidRPr="00B454D6" w:rsidRDefault="00200994">
            <w:pPr>
              <w:pStyle w:val="Infotext"/>
              <w:rPr>
                <w:rFonts w:cs="Arial"/>
                <w:sz w:val="24"/>
                <w:szCs w:val="24"/>
              </w:rPr>
            </w:pPr>
            <w:r w:rsidRPr="00B454D6">
              <w:rPr>
                <w:rFonts w:cs="Arial"/>
                <w:sz w:val="24"/>
                <w:szCs w:val="24"/>
              </w:rPr>
              <w:t xml:space="preserve">Appendix </w:t>
            </w:r>
            <w:r w:rsidR="0063322C">
              <w:rPr>
                <w:rFonts w:cs="Arial"/>
                <w:sz w:val="24"/>
                <w:szCs w:val="24"/>
              </w:rPr>
              <w:t>2</w:t>
            </w:r>
            <w:r w:rsidRPr="00B454D6">
              <w:rPr>
                <w:rFonts w:cs="Arial"/>
                <w:sz w:val="24"/>
                <w:szCs w:val="24"/>
              </w:rPr>
              <w:t xml:space="preserve"> – </w:t>
            </w:r>
            <w:r w:rsidR="00413258">
              <w:rPr>
                <w:rFonts w:cs="Arial"/>
                <w:sz w:val="24"/>
                <w:szCs w:val="24"/>
              </w:rPr>
              <w:t>Draft Borough Profile</w:t>
            </w:r>
          </w:p>
          <w:p w14:paraId="0FE93A5B" w14:textId="2D16268E" w:rsidR="00200994" w:rsidRPr="00B454D6" w:rsidRDefault="00200994">
            <w:pPr>
              <w:pStyle w:val="Infotext"/>
              <w:rPr>
                <w:rFonts w:cs="Arial"/>
                <w:sz w:val="24"/>
                <w:szCs w:val="24"/>
              </w:rPr>
            </w:pPr>
            <w:r w:rsidRPr="00B454D6">
              <w:rPr>
                <w:rFonts w:cs="Arial"/>
                <w:sz w:val="24"/>
                <w:szCs w:val="24"/>
              </w:rPr>
              <w:t xml:space="preserve">Appendix </w:t>
            </w:r>
            <w:r w:rsidR="0063322C">
              <w:rPr>
                <w:rFonts w:cs="Arial"/>
                <w:sz w:val="24"/>
                <w:szCs w:val="24"/>
              </w:rPr>
              <w:t>3</w:t>
            </w:r>
            <w:r w:rsidRPr="00B454D6">
              <w:rPr>
                <w:rFonts w:cs="Arial"/>
                <w:sz w:val="24"/>
                <w:szCs w:val="24"/>
              </w:rPr>
              <w:t xml:space="preserve"> – </w:t>
            </w:r>
            <w:r w:rsidR="00413258">
              <w:rPr>
                <w:rFonts w:cs="Arial"/>
                <w:sz w:val="24"/>
                <w:szCs w:val="24"/>
              </w:rPr>
              <w:t>Draft Spatial Vision</w:t>
            </w:r>
            <w:r w:rsidR="00F87DAB">
              <w:rPr>
                <w:rFonts w:cs="Arial"/>
                <w:sz w:val="24"/>
                <w:szCs w:val="24"/>
              </w:rPr>
              <w:t xml:space="preserve"> and Strategy</w:t>
            </w:r>
            <w:r w:rsidR="001C6D73">
              <w:rPr>
                <w:rFonts w:cs="Arial"/>
                <w:sz w:val="24"/>
                <w:szCs w:val="24"/>
              </w:rPr>
              <w:t>,</w:t>
            </w:r>
            <w:r w:rsidR="00F87DAB">
              <w:rPr>
                <w:rFonts w:cs="Arial"/>
                <w:sz w:val="24"/>
                <w:szCs w:val="24"/>
              </w:rPr>
              <w:t xml:space="preserve"> and Strategic </w:t>
            </w:r>
            <w:r w:rsidR="00700EEC">
              <w:rPr>
                <w:rFonts w:cs="Arial"/>
                <w:sz w:val="24"/>
                <w:szCs w:val="24"/>
              </w:rPr>
              <w:t>Objectives</w:t>
            </w:r>
            <w:r w:rsidR="00413258">
              <w:rPr>
                <w:rFonts w:cs="Arial"/>
                <w:sz w:val="24"/>
                <w:szCs w:val="24"/>
              </w:rPr>
              <w:t xml:space="preserve"> </w:t>
            </w:r>
          </w:p>
          <w:p w14:paraId="05A8DEFB" w14:textId="6401E9AF" w:rsidR="00200994" w:rsidRPr="00B454D6" w:rsidRDefault="00200994">
            <w:pPr>
              <w:pStyle w:val="Infotext"/>
              <w:rPr>
                <w:rFonts w:cs="Arial"/>
                <w:sz w:val="24"/>
                <w:szCs w:val="24"/>
              </w:rPr>
            </w:pPr>
          </w:p>
        </w:tc>
      </w:tr>
    </w:tbl>
    <w:p w14:paraId="346D5BB2" w14:textId="77777777" w:rsidR="005441BD" w:rsidRPr="00B454D6" w:rsidRDefault="005441BD" w:rsidP="000C613B">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B454D6" w14:paraId="20A4F076" w14:textId="77777777">
        <w:tc>
          <w:tcPr>
            <w:tcW w:w="8525" w:type="dxa"/>
            <w:tcBorders>
              <w:top w:val="nil"/>
              <w:left w:val="nil"/>
              <w:right w:val="nil"/>
            </w:tcBorders>
          </w:tcPr>
          <w:p w14:paraId="62639055" w14:textId="77777777" w:rsidR="005200DF" w:rsidRPr="00B454D6" w:rsidRDefault="005200DF" w:rsidP="005337B2">
            <w:pPr>
              <w:pStyle w:val="Heading2"/>
              <w:spacing w:after="240"/>
            </w:pPr>
            <w:r w:rsidRPr="00B454D6">
              <w:t>Section 1 – Summary and Recommendations</w:t>
            </w:r>
          </w:p>
        </w:tc>
      </w:tr>
      <w:tr w:rsidR="005441BD" w:rsidRPr="00B454D6" w14:paraId="07FFE2EC" w14:textId="77777777">
        <w:tc>
          <w:tcPr>
            <w:tcW w:w="8525" w:type="dxa"/>
          </w:tcPr>
          <w:p w14:paraId="72A9A1B3" w14:textId="77777777" w:rsidR="005441BD" w:rsidRPr="00B454D6" w:rsidRDefault="005441BD"/>
          <w:p w14:paraId="70AD5120" w14:textId="7E320987" w:rsidR="00BC1CC7" w:rsidRPr="00B454D6" w:rsidRDefault="00BC1CC7" w:rsidP="00BC1CC7">
            <w:r w:rsidRPr="00B454D6">
              <w:t xml:space="preserve">This report </w:t>
            </w:r>
            <w:r w:rsidR="00200994" w:rsidRPr="00B454D6">
              <w:t xml:space="preserve">provides an update on the </w:t>
            </w:r>
            <w:r w:rsidR="00700EEC">
              <w:t>new Harrow Local Plan. It also seeks</w:t>
            </w:r>
            <w:r w:rsidR="00512D29">
              <w:t xml:space="preserve"> the Panel’s comments and feedback on the </w:t>
            </w:r>
            <w:r w:rsidR="00AF7206">
              <w:t>d</w:t>
            </w:r>
            <w:r w:rsidR="00512D29">
              <w:t xml:space="preserve">raft Borough Profile and </w:t>
            </w:r>
            <w:r w:rsidR="00AF7206">
              <w:t>d</w:t>
            </w:r>
            <w:r w:rsidR="00512D29">
              <w:rPr>
                <w:rFonts w:cs="Arial"/>
                <w:szCs w:val="24"/>
              </w:rPr>
              <w:t>raft Spatial Vision and Strategy and Strategic Objectives</w:t>
            </w:r>
            <w:r w:rsidR="00200994" w:rsidRPr="00B454D6">
              <w:t>.</w:t>
            </w:r>
            <w:r w:rsidR="00472BD4">
              <w:t xml:space="preserve"> It </w:t>
            </w:r>
            <w:r w:rsidR="00A71909">
              <w:t>then concludes with next steps</w:t>
            </w:r>
            <w:r w:rsidR="00021BB5">
              <w:t xml:space="preserve"> in the preparation of the new Local Plan</w:t>
            </w:r>
            <w:r w:rsidR="00A71909">
              <w:t>.</w:t>
            </w:r>
          </w:p>
          <w:p w14:paraId="440E37A1" w14:textId="77777777" w:rsidR="005441BD" w:rsidRPr="00B454D6" w:rsidRDefault="005441BD" w:rsidP="00BC1CC7"/>
          <w:p w14:paraId="6ABBF0F2" w14:textId="77777777" w:rsidR="005441BD" w:rsidRPr="00B454D6" w:rsidRDefault="005441BD" w:rsidP="004229C6">
            <w:pPr>
              <w:pStyle w:val="Heading3"/>
              <w:keepNext/>
              <w:rPr>
                <w:i/>
              </w:rPr>
            </w:pPr>
            <w:r w:rsidRPr="00B454D6">
              <w:lastRenderedPageBreak/>
              <w:t>Recommendations:</w:t>
            </w:r>
            <w:r w:rsidRPr="00B454D6">
              <w:rPr>
                <w:i/>
              </w:rPr>
              <w:t xml:space="preserve"> </w:t>
            </w:r>
          </w:p>
          <w:p w14:paraId="47175E89" w14:textId="2217F35F" w:rsidR="00200994" w:rsidRPr="00B454D6" w:rsidRDefault="00200994" w:rsidP="00200994">
            <w:r w:rsidRPr="00B454D6">
              <w:t>The Panel is requested to note and comment on the report</w:t>
            </w:r>
            <w:r w:rsidR="00512D29">
              <w:t xml:space="preserve"> and Appendices</w:t>
            </w:r>
            <w:r w:rsidRPr="00B454D6">
              <w:t xml:space="preserve">. </w:t>
            </w:r>
          </w:p>
          <w:p w14:paraId="128EE48C" w14:textId="77777777" w:rsidR="00186710" w:rsidRPr="00B454D6" w:rsidRDefault="00186710" w:rsidP="00186710">
            <w:pPr>
              <w:pStyle w:val="Heading3"/>
            </w:pPr>
          </w:p>
          <w:p w14:paraId="328ED718" w14:textId="74B9AF81" w:rsidR="005441BD" w:rsidRPr="00B454D6" w:rsidRDefault="001F31D6" w:rsidP="00186710">
            <w:pPr>
              <w:pStyle w:val="Heading3"/>
              <w:keepNext/>
            </w:pPr>
            <w:r w:rsidRPr="00B454D6">
              <w:t>Reason: (f</w:t>
            </w:r>
            <w:r w:rsidR="00DB1857" w:rsidRPr="00B454D6">
              <w:t>or recommendation)</w:t>
            </w:r>
          </w:p>
          <w:p w14:paraId="7339B5C9" w14:textId="615D0A34" w:rsidR="00200994" w:rsidRPr="00B454D6" w:rsidRDefault="00512D29" w:rsidP="00200994">
            <w:r>
              <w:t>The Harrow Local Plan is one of the key</w:t>
            </w:r>
            <w:r w:rsidR="00326049">
              <w:t xml:space="preserve"> documents in the Council’s policy framework. </w:t>
            </w:r>
            <w:r w:rsidR="001C6D73">
              <w:t>The Borough Profile sets the context for the plan</w:t>
            </w:r>
            <w:r w:rsidR="008877A0">
              <w:t xml:space="preserve">. Within the plan, </w:t>
            </w:r>
            <w:r w:rsidR="001C6D73">
              <w:t xml:space="preserve">the </w:t>
            </w:r>
            <w:r w:rsidR="001C6D73">
              <w:rPr>
                <w:rFonts w:cs="Arial"/>
                <w:szCs w:val="24"/>
              </w:rPr>
              <w:t xml:space="preserve">Spatial Vision and Strategy, and Strategic Objectives </w:t>
            </w:r>
            <w:r w:rsidR="008877A0">
              <w:rPr>
                <w:rFonts w:cs="Arial"/>
                <w:szCs w:val="24"/>
              </w:rPr>
              <w:t xml:space="preserve">provide the overarching narrative for the document from which detailed provisions </w:t>
            </w:r>
            <w:r w:rsidR="00505F9C">
              <w:rPr>
                <w:rFonts w:cs="Arial"/>
                <w:szCs w:val="24"/>
              </w:rPr>
              <w:t xml:space="preserve">/ policies follow. Member input, through the Panel, is an </w:t>
            </w:r>
            <w:r w:rsidR="00A76164">
              <w:rPr>
                <w:rFonts w:cs="Arial"/>
                <w:szCs w:val="24"/>
              </w:rPr>
              <w:t>essential</w:t>
            </w:r>
            <w:r w:rsidR="00505F9C">
              <w:rPr>
                <w:rFonts w:cs="Arial"/>
                <w:szCs w:val="24"/>
              </w:rPr>
              <w:t xml:space="preserve"> part of the </w:t>
            </w:r>
            <w:r w:rsidR="00AF7206">
              <w:rPr>
                <w:rFonts w:cs="Arial"/>
                <w:szCs w:val="24"/>
              </w:rPr>
              <w:t xml:space="preserve">Local Plan </w:t>
            </w:r>
            <w:r w:rsidR="00505F9C">
              <w:rPr>
                <w:rFonts w:cs="Arial"/>
                <w:szCs w:val="24"/>
              </w:rPr>
              <w:t>process.</w:t>
            </w:r>
          </w:p>
        </w:tc>
      </w:tr>
    </w:tbl>
    <w:p w14:paraId="6FB6728F" w14:textId="77777777" w:rsidR="005441BD" w:rsidRPr="00B454D6" w:rsidRDefault="005441BD" w:rsidP="00BC1CC7">
      <w:pPr>
        <w:pStyle w:val="Heading2"/>
        <w:spacing w:before="480"/>
      </w:pPr>
      <w:r w:rsidRPr="00B454D6">
        <w:lastRenderedPageBreak/>
        <w:t>Section 2 – Report</w:t>
      </w:r>
    </w:p>
    <w:p w14:paraId="0901A58A" w14:textId="77777777" w:rsidR="005441BD" w:rsidRPr="00B454D6" w:rsidRDefault="005441BD"/>
    <w:p w14:paraId="1F38596E" w14:textId="6FEC86A7" w:rsidR="005441BD" w:rsidRPr="00B454D6" w:rsidRDefault="00C13465" w:rsidP="00A76164">
      <w:pPr>
        <w:pStyle w:val="Heading3"/>
        <w:keepNext/>
        <w:ind w:left="851" w:hanging="851"/>
      </w:pPr>
      <w:r w:rsidRPr="00B454D6">
        <w:t>1.0</w:t>
      </w:r>
      <w:r w:rsidRPr="00B454D6">
        <w:tab/>
      </w:r>
      <w:r w:rsidR="005441BD" w:rsidRPr="00B454D6">
        <w:t>Introduct</w:t>
      </w:r>
      <w:r w:rsidR="00186710" w:rsidRPr="00B454D6">
        <w:t>ion</w:t>
      </w:r>
    </w:p>
    <w:p w14:paraId="14997373" w14:textId="77777777" w:rsidR="00C13465" w:rsidRPr="00B454D6" w:rsidRDefault="00C13465" w:rsidP="00A76164">
      <w:pPr>
        <w:keepNext/>
      </w:pPr>
    </w:p>
    <w:p w14:paraId="239E9EC7" w14:textId="144D7132" w:rsidR="00C13465" w:rsidRPr="00B454D6" w:rsidRDefault="00C13465" w:rsidP="00A76164">
      <w:pPr>
        <w:keepNext/>
        <w:ind w:left="851" w:hanging="851"/>
      </w:pPr>
      <w:r w:rsidRPr="00B454D6">
        <w:t>1.1</w:t>
      </w:r>
      <w:r w:rsidRPr="00B454D6">
        <w:tab/>
        <w:t>This report</w:t>
      </w:r>
      <w:r w:rsidR="0064473E">
        <w:t xml:space="preserve"> relates to the new Harrow Local Plan and:</w:t>
      </w:r>
    </w:p>
    <w:p w14:paraId="0633E0AA" w14:textId="77777777" w:rsidR="00C13465" w:rsidRPr="00B454D6" w:rsidRDefault="00C13465" w:rsidP="00A76164">
      <w:pPr>
        <w:keepNext/>
        <w:ind w:left="851" w:hanging="851"/>
      </w:pPr>
    </w:p>
    <w:p w14:paraId="0FCFFDBE" w14:textId="6F29CBFC" w:rsidR="00BA19CB" w:rsidRPr="00B454D6" w:rsidRDefault="00C13465" w:rsidP="00C13465">
      <w:pPr>
        <w:ind w:left="1701" w:hanging="851"/>
      </w:pPr>
      <w:r w:rsidRPr="00B454D6">
        <w:t>(a)</w:t>
      </w:r>
      <w:r w:rsidRPr="00B454D6">
        <w:tab/>
      </w:r>
      <w:r w:rsidR="00FB5B8B">
        <w:t xml:space="preserve">provides </w:t>
      </w:r>
      <w:r w:rsidR="00A71909">
        <w:t>a</w:t>
      </w:r>
      <w:r w:rsidR="0064473E">
        <w:t xml:space="preserve">n update of the preparation of the </w:t>
      </w:r>
      <w:proofErr w:type="gramStart"/>
      <w:r w:rsidR="0064473E">
        <w:t>Plan;</w:t>
      </w:r>
      <w:proofErr w:type="gramEnd"/>
    </w:p>
    <w:p w14:paraId="31989E68" w14:textId="77777777" w:rsidR="00FB5B8B" w:rsidRDefault="00BA19CB" w:rsidP="00C13465">
      <w:pPr>
        <w:ind w:left="1701" w:hanging="851"/>
      </w:pPr>
      <w:r w:rsidRPr="00B454D6">
        <w:t>(b)</w:t>
      </w:r>
      <w:r w:rsidRPr="00B454D6">
        <w:tab/>
      </w:r>
      <w:r w:rsidR="00917280">
        <w:t xml:space="preserve">documents the draft Borough Profile and </w:t>
      </w:r>
      <w:r w:rsidR="00917280">
        <w:rPr>
          <w:rFonts w:cs="Arial"/>
          <w:szCs w:val="24"/>
        </w:rPr>
        <w:t>draft Spatial Vision and Strategy and Strategic Objectives</w:t>
      </w:r>
      <w:r w:rsidR="00917280">
        <w:t xml:space="preserve"> for the Plan and seeks the Panel’s feedback on these</w:t>
      </w:r>
      <w:r w:rsidR="00FB5B8B">
        <w:t>; and</w:t>
      </w:r>
    </w:p>
    <w:p w14:paraId="0E0F0DA9" w14:textId="5C3FDD5E" w:rsidR="00BA19CB" w:rsidRPr="00B454D6" w:rsidRDefault="00FB5B8B" w:rsidP="00C13465">
      <w:pPr>
        <w:ind w:left="1701" w:hanging="851"/>
      </w:pPr>
      <w:r>
        <w:t>(c)</w:t>
      </w:r>
      <w:r>
        <w:tab/>
        <w:t>outlines the next steps</w:t>
      </w:r>
      <w:r w:rsidR="00BA19CB" w:rsidRPr="00B454D6">
        <w:t>.</w:t>
      </w:r>
    </w:p>
    <w:p w14:paraId="22D641E1" w14:textId="77777777" w:rsidR="009F6A27" w:rsidRDefault="009F6A27" w:rsidP="009F6A27"/>
    <w:p w14:paraId="00CC5385" w14:textId="77777777" w:rsidR="008C153F" w:rsidRPr="00B454D6" w:rsidRDefault="008C153F" w:rsidP="009F6A27"/>
    <w:p w14:paraId="4F763968" w14:textId="3C9D51A5" w:rsidR="005441BD" w:rsidRPr="00B454D6" w:rsidRDefault="009F6A27" w:rsidP="00A76164">
      <w:pPr>
        <w:pStyle w:val="Heading3"/>
        <w:keepNext/>
        <w:ind w:left="851" w:hanging="851"/>
      </w:pPr>
      <w:r w:rsidRPr="00B454D6">
        <w:t>2.0</w:t>
      </w:r>
      <w:r w:rsidRPr="00B454D6">
        <w:tab/>
      </w:r>
      <w:r w:rsidR="005441BD" w:rsidRPr="00B454D6">
        <w:t xml:space="preserve">Options </w:t>
      </w:r>
      <w:proofErr w:type="gramStart"/>
      <w:r w:rsidR="005441BD" w:rsidRPr="00B454D6">
        <w:t>considered</w:t>
      </w:r>
      <w:proofErr w:type="gramEnd"/>
    </w:p>
    <w:p w14:paraId="7E217548" w14:textId="77777777" w:rsidR="009F6A27" w:rsidRPr="00B454D6" w:rsidRDefault="009F6A27" w:rsidP="00A76164">
      <w:pPr>
        <w:keepNext/>
        <w:ind w:left="851" w:hanging="851"/>
      </w:pPr>
    </w:p>
    <w:p w14:paraId="05853B1A" w14:textId="6AFCAA13" w:rsidR="00C4117C" w:rsidRPr="00B454D6" w:rsidRDefault="009F6A27" w:rsidP="009F6A27">
      <w:pPr>
        <w:ind w:left="851" w:hanging="851"/>
      </w:pPr>
      <w:r w:rsidRPr="00B454D6">
        <w:t>2.1</w:t>
      </w:r>
      <w:r w:rsidRPr="00B454D6">
        <w:tab/>
        <w:t xml:space="preserve">The option of not providing an update </w:t>
      </w:r>
      <w:r w:rsidR="00A06811">
        <w:t xml:space="preserve">nor seeking feedback or comment </w:t>
      </w:r>
      <w:r w:rsidRPr="00B454D6">
        <w:t xml:space="preserve">was considered and dismissed as this would not give the Panel the opportunity to monitor and comment on something within their Terms of Reference. </w:t>
      </w:r>
      <w:r w:rsidR="00A06811">
        <w:t xml:space="preserve">The Harrow Local Plan is one of the key documents in the Council’s policy framework. The Borough Profile sets the context for the plan. Within the plan, the </w:t>
      </w:r>
      <w:r w:rsidR="00A06811">
        <w:rPr>
          <w:rFonts w:cs="Arial"/>
          <w:szCs w:val="24"/>
        </w:rPr>
        <w:t xml:space="preserve">Spatial Vision and Strategy, and Strategic Objectives provide the overarching narrative for the document from which detailed provisions / policies follow. Member input, through the Panel, is an </w:t>
      </w:r>
      <w:r w:rsidR="002D3D4D">
        <w:rPr>
          <w:rFonts w:cs="Arial"/>
          <w:szCs w:val="24"/>
        </w:rPr>
        <w:t>essential</w:t>
      </w:r>
      <w:r w:rsidR="00A06811">
        <w:rPr>
          <w:rFonts w:cs="Arial"/>
          <w:szCs w:val="24"/>
        </w:rPr>
        <w:t xml:space="preserve"> part of the process.</w:t>
      </w:r>
    </w:p>
    <w:p w14:paraId="633912A2" w14:textId="77777777" w:rsidR="00C4117C" w:rsidRDefault="00C4117C" w:rsidP="00BC1CC7"/>
    <w:p w14:paraId="3449A94D" w14:textId="77777777" w:rsidR="008C153F" w:rsidRPr="00B454D6" w:rsidRDefault="008C153F" w:rsidP="00BC1CC7"/>
    <w:p w14:paraId="6E04B0C6" w14:textId="77777777" w:rsidR="009F6A27" w:rsidRPr="00B454D6" w:rsidRDefault="009F6A27" w:rsidP="009F6A27">
      <w:pPr>
        <w:pStyle w:val="Heading3"/>
        <w:keepNext/>
        <w:ind w:left="851" w:hanging="851"/>
        <w:jc w:val="left"/>
      </w:pPr>
      <w:r w:rsidRPr="00B454D6">
        <w:t>3.0</w:t>
      </w:r>
      <w:r w:rsidRPr="00B454D6">
        <w:tab/>
        <w:t>Background</w:t>
      </w:r>
    </w:p>
    <w:p w14:paraId="44FE983C" w14:textId="77777777" w:rsidR="009F6A27" w:rsidRPr="00B454D6" w:rsidRDefault="009F6A27" w:rsidP="009F6A27">
      <w:pPr>
        <w:keepNext/>
        <w:ind w:left="851" w:hanging="851"/>
        <w:jc w:val="both"/>
        <w:rPr>
          <w:rFonts w:cs="Arial"/>
          <w:szCs w:val="24"/>
        </w:rPr>
      </w:pPr>
    </w:p>
    <w:p w14:paraId="1FE5B219" w14:textId="43046715" w:rsidR="00641175" w:rsidRDefault="00641175" w:rsidP="00641175">
      <w:pPr>
        <w:ind w:left="851" w:hanging="851"/>
      </w:pPr>
      <w:r>
        <w:t>3</w:t>
      </w:r>
      <w:r w:rsidRPr="00424E06">
        <w:t>.1</w:t>
      </w:r>
      <w:r w:rsidRPr="00424E06">
        <w:tab/>
      </w:r>
      <w:r>
        <w:t>The Council has committed to preparing a new Harrow Local Plan. This is in response to the time that has elapsed since the current Local Plan was adopted (2012 and 2013) and changes in national and regional planning policy since that time, as well as emerging issues and local priorities.</w:t>
      </w:r>
    </w:p>
    <w:p w14:paraId="49EE30A3" w14:textId="77777777" w:rsidR="00641175" w:rsidRDefault="00641175" w:rsidP="00641175">
      <w:pPr>
        <w:ind w:left="851" w:hanging="851"/>
      </w:pPr>
    </w:p>
    <w:p w14:paraId="51CCC8F6" w14:textId="27C00B1A" w:rsidR="00641175" w:rsidRDefault="00641175" w:rsidP="00641175">
      <w:pPr>
        <w:ind w:left="851" w:hanging="851"/>
      </w:pPr>
      <w:r>
        <w:t>3.2</w:t>
      </w:r>
      <w:r>
        <w:tab/>
        <w:t xml:space="preserve">At its meeting on 9 January 2023, the Panel considered a report in relation to the Council’s Local Development Scheme (LDS). The </w:t>
      </w:r>
      <w:r w:rsidRPr="00424E06">
        <w:t>LDS</w:t>
      </w:r>
      <w:r>
        <w:t xml:space="preserve"> is</w:t>
      </w:r>
      <w:r w:rsidRPr="00424E06">
        <w:t xml:space="preserve"> a rolling three-year project plan setting out all the planning documents to be produced by the local authority and the timetable for their preparation. </w:t>
      </w:r>
      <w:r>
        <w:t xml:space="preserve">The draft LDS considered by the Panel committed </w:t>
      </w:r>
      <w:r>
        <w:lastRenderedPageBreak/>
        <w:t xml:space="preserve">the Council to prepare a new Local Plan, with adoption scheduled for December 2025. </w:t>
      </w:r>
      <w:r w:rsidRPr="00E80729">
        <w:t xml:space="preserve">The LDS was subsequently </w:t>
      </w:r>
      <w:r>
        <w:t>agreed</w:t>
      </w:r>
      <w:r w:rsidRPr="00E80729">
        <w:t xml:space="preserve"> by Cabinet on 16</w:t>
      </w:r>
      <w:r>
        <w:t> </w:t>
      </w:r>
      <w:r w:rsidRPr="00E80729">
        <w:t>February 2023.</w:t>
      </w:r>
    </w:p>
    <w:p w14:paraId="384666DA" w14:textId="77777777" w:rsidR="00641175" w:rsidRDefault="00641175" w:rsidP="00641175">
      <w:pPr>
        <w:ind w:left="851" w:hanging="851"/>
      </w:pPr>
    </w:p>
    <w:p w14:paraId="7FE478BB" w14:textId="571D4926" w:rsidR="00641175" w:rsidRDefault="0089130F" w:rsidP="00FE4490">
      <w:pPr>
        <w:keepLines/>
        <w:ind w:left="851" w:hanging="851"/>
      </w:pPr>
      <w:r>
        <w:t>3</w:t>
      </w:r>
      <w:r w:rsidR="00641175">
        <w:t>.3</w:t>
      </w:r>
      <w:r w:rsidR="00641175">
        <w:tab/>
      </w:r>
      <w:r>
        <w:t xml:space="preserve">At its meeting on </w:t>
      </w:r>
      <w:r w:rsidR="00760158">
        <w:t xml:space="preserve">6 March 2023, the Panel considered a report that </w:t>
      </w:r>
      <w:r w:rsidR="00641175">
        <w:rPr>
          <w:color w:val="000000" w:themeColor="text1"/>
        </w:rPr>
        <w:t>introduce</w:t>
      </w:r>
      <w:r w:rsidR="00760158">
        <w:rPr>
          <w:color w:val="000000" w:themeColor="text1"/>
        </w:rPr>
        <w:t>d</w:t>
      </w:r>
      <w:r w:rsidR="00641175">
        <w:rPr>
          <w:color w:val="000000" w:themeColor="text1"/>
        </w:rPr>
        <w:t xml:space="preserve"> the Local Plan process in more detail and key issues that it will need to address. </w:t>
      </w:r>
      <w:r w:rsidR="00760158">
        <w:rPr>
          <w:color w:val="000000" w:themeColor="text1"/>
        </w:rPr>
        <w:t>It sought</w:t>
      </w:r>
      <w:r w:rsidR="00641175">
        <w:rPr>
          <w:color w:val="000000" w:themeColor="text1"/>
        </w:rPr>
        <w:t xml:space="preserve"> comment</w:t>
      </w:r>
      <w:r w:rsidR="00A8620A">
        <w:rPr>
          <w:color w:val="000000" w:themeColor="text1"/>
        </w:rPr>
        <w:t>s</w:t>
      </w:r>
      <w:r w:rsidR="00641175">
        <w:rPr>
          <w:color w:val="000000" w:themeColor="text1"/>
        </w:rPr>
        <w:t xml:space="preserve"> and discussion from the Panel to assist in the scoping of the Local Plan, including its broad vision and objectives</w:t>
      </w:r>
      <w:r w:rsidR="003302C1">
        <w:rPr>
          <w:color w:val="000000" w:themeColor="text1"/>
        </w:rPr>
        <w:t xml:space="preserve">, to </w:t>
      </w:r>
      <w:r w:rsidR="00641175">
        <w:rPr>
          <w:color w:val="000000" w:themeColor="text1"/>
        </w:rPr>
        <w:t>inform drafting of the new Local Plan</w:t>
      </w:r>
      <w:r w:rsidR="00FE4490">
        <w:rPr>
          <w:color w:val="000000" w:themeColor="text1"/>
        </w:rPr>
        <w:t>.</w:t>
      </w:r>
    </w:p>
    <w:p w14:paraId="793A6853" w14:textId="035888A1" w:rsidR="752A3A13" w:rsidRDefault="752A3A13" w:rsidP="752A3A13">
      <w:pPr>
        <w:ind w:left="1701" w:hanging="851"/>
      </w:pPr>
    </w:p>
    <w:p w14:paraId="2EA3D4F9" w14:textId="4768EE3A" w:rsidR="00253548" w:rsidRDefault="00253548" w:rsidP="00253548">
      <w:pPr>
        <w:keepLines/>
        <w:ind w:left="851" w:hanging="851"/>
      </w:pPr>
      <w:r>
        <w:t>3.4</w:t>
      </w:r>
      <w:r>
        <w:tab/>
        <w:t>The plan will cover the period from 2021-2041</w:t>
      </w:r>
      <w:r w:rsidR="00222DEB">
        <w:t>. Under government guidance, plans should be reviewed (and updated if necessary) every five years.</w:t>
      </w:r>
    </w:p>
    <w:p w14:paraId="2B5FBA8B" w14:textId="77777777" w:rsidR="00253548" w:rsidRDefault="00253548" w:rsidP="752A3A13">
      <w:pPr>
        <w:ind w:left="1701" w:hanging="851"/>
      </w:pPr>
    </w:p>
    <w:p w14:paraId="331C98C9" w14:textId="77777777" w:rsidR="008C153F" w:rsidRPr="00B454D6" w:rsidRDefault="008C153F" w:rsidP="752A3A13">
      <w:pPr>
        <w:ind w:left="1701" w:hanging="851"/>
      </w:pPr>
    </w:p>
    <w:p w14:paraId="212C8AEE" w14:textId="05367F56" w:rsidR="007E1ED8" w:rsidRPr="00B454D6" w:rsidRDefault="007E1ED8" w:rsidP="007E1ED8">
      <w:pPr>
        <w:pStyle w:val="Heading3"/>
        <w:keepNext/>
        <w:ind w:left="851" w:hanging="851"/>
        <w:jc w:val="left"/>
      </w:pPr>
      <w:r w:rsidRPr="00B454D6">
        <w:t>4.0</w:t>
      </w:r>
      <w:r w:rsidRPr="00B454D6">
        <w:tab/>
      </w:r>
      <w:r w:rsidR="00AD0D3F">
        <w:t>Local Plan Progress</w:t>
      </w:r>
    </w:p>
    <w:p w14:paraId="44DA93CB" w14:textId="77777777" w:rsidR="007E1ED8" w:rsidRPr="00B454D6" w:rsidRDefault="007E1ED8" w:rsidP="007E1ED8">
      <w:pPr>
        <w:keepNext/>
        <w:ind w:left="851" w:hanging="851"/>
        <w:jc w:val="both"/>
        <w:rPr>
          <w:rFonts w:cs="Arial"/>
          <w:szCs w:val="24"/>
        </w:rPr>
      </w:pPr>
    </w:p>
    <w:p w14:paraId="623E1039" w14:textId="77777777" w:rsidR="005C1DD9" w:rsidRDefault="007E1ED8" w:rsidP="007E1ED8">
      <w:pPr>
        <w:ind w:left="851" w:hanging="851"/>
        <w:rPr>
          <w:rFonts w:cs="Arial"/>
          <w:szCs w:val="24"/>
        </w:rPr>
      </w:pPr>
      <w:r w:rsidRPr="00B454D6">
        <w:rPr>
          <w:rFonts w:cs="Arial"/>
          <w:szCs w:val="24"/>
        </w:rPr>
        <w:t>4.1</w:t>
      </w:r>
      <w:r w:rsidRPr="00B454D6">
        <w:rPr>
          <w:rFonts w:cs="Arial"/>
          <w:szCs w:val="24"/>
        </w:rPr>
        <w:tab/>
      </w:r>
      <w:r w:rsidR="002F5673">
        <w:rPr>
          <w:rFonts w:cs="Arial"/>
          <w:szCs w:val="24"/>
        </w:rPr>
        <w:t>Since the Panel’s March 2023</w:t>
      </w:r>
      <w:r w:rsidR="001550A1">
        <w:rPr>
          <w:rFonts w:cs="Arial"/>
          <w:szCs w:val="24"/>
        </w:rPr>
        <w:t xml:space="preserve"> meeting, considerable work has been undertaken in relation to the </w:t>
      </w:r>
      <w:r w:rsidR="00DB2AF2">
        <w:rPr>
          <w:rFonts w:cs="Arial"/>
          <w:szCs w:val="24"/>
        </w:rPr>
        <w:t xml:space="preserve">preparation of the new Harrow Local Plan. </w:t>
      </w:r>
      <w:r w:rsidR="0025583E">
        <w:rPr>
          <w:rFonts w:cs="Arial"/>
          <w:szCs w:val="24"/>
        </w:rPr>
        <w:t xml:space="preserve"> </w:t>
      </w:r>
      <w:r w:rsidR="00C35EB3">
        <w:rPr>
          <w:rFonts w:cs="Arial"/>
          <w:szCs w:val="24"/>
        </w:rPr>
        <w:t>This can be broadly broken down into evidence base work</w:t>
      </w:r>
      <w:r w:rsidR="00472BD4">
        <w:rPr>
          <w:rFonts w:cs="Arial"/>
          <w:szCs w:val="24"/>
        </w:rPr>
        <w:t xml:space="preserve">, stakeholder engagement and </w:t>
      </w:r>
      <w:r w:rsidR="005C1DD9">
        <w:rPr>
          <w:rFonts w:cs="Arial"/>
          <w:szCs w:val="24"/>
        </w:rPr>
        <w:t>plan drafting.</w:t>
      </w:r>
    </w:p>
    <w:p w14:paraId="0840375F" w14:textId="77777777" w:rsidR="005C1DD9" w:rsidRDefault="005C1DD9" w:rsidP="007E1ED8">
      <w:pPr>
        <w:ind w:left="851" w:hanging="851"/>
        <w:rPr>
          <w:rFonts w:cs="Arial"/>
          <w:szCs w:val="24"/>
        </w:rPr>
      </w:pPr>
    </w:p>
    <w:p w14:paraId="626732F3" w14:textId="362FC75B" w:rsidR="005C1DD9" w:rsidRPr="005C1DD9" w:rsidRDefault="005C1DD9" w:rsidP="00A76164">
      <w:pPr>
        <w:keepNext/>
        <w:ind w:left="851"/>
        <w:rPr>
          <w:rFonts w:cs="Arial"/>
          <w:i/>
          <w:iCs/>
          <w:szCs w:val="24"/>
        </w:rPr>
      </w:pPr>
      <w:r>
        <w:rPr>
          <w:rFonts w:cs="Arial"/>
          <w:i/>
          <w:iCs/>
          <w:szCs w:val="24"/>
        </w:rPr>
        <w:t>Evidence base work</w:t>
      </w:r>
    </w:p>
    <w:p w14:paraId="10FA13D4" w14:textId="77777777" w:rsidR="005C1DD9" w:rsidRDefault="005C1DD9" w:rsidP="00A76164">
      <w:pPr>
        <w:keepNext/>
        <w:ind w:left="851" w:hanging="851"/>
        <w:rPr>
          <w:rFonts w:eastAsia="Calibri" w:cs="Arial"/>
          <w:szCs w:val="24"/>
        </w:rPr>
      </w:pPr>
    </w:p>
    <w:p w14:paraId="05F32DAC" w14:textId="69803A1F" w:rsidR="00611E77" w:rsidRDefault="00F8187D" w:rsidP="007E1ED8">
      <w:pPr>
        <w:ind w:left="851" w:hanging="851"/>
        <w:rPr>
          <w:rFonts w:eastAsia="Calibri" w:cs="Arial"/>
          <w:szCs w:val="24"/>
        </w:rPr>
      </w:pPr>
      <w:r w:rsidRPr="00B454D6">
        <w:rPr>
          <w:rFonts w:eastAsia="Calibri" w:cs="Arial"/>
          <w:szCs w:val="24"/>
        </w:rPr>
        <w:t>4.</w:t>
      </w:r>
      <w:r w:rsidR="00903693" w:rsidRPr="00B454D6">
        <w:rPr>
          <w:rFonts w:eastAsia="Calibri" w:cs="Arial"/>
          <w:szCs w:val="24"/>
        </w:rPr>
        <w:t>2</w:t>
      </w:r>
      <w:r w:rsidRPr="00B454D6">
        <w:rPr>
          <w:rFonts w:eastAsia="Calibri" w:cs="Arial"/>
          <w:szCs w:val="24"/>
        </w:rPr>
        <w:tab/>
      </w:r>
      <w:r w:rsidR="00C76EF0">
        <w:rPr>
          <w:rFonts w:eastAsia="Calibri" w:cs="Arial"/>
          <w:szCs w:val="24"/>
        </w:rPr>
        <w:t xml:space="preserve">All </w:t>
      </w:r>
      <w:r w:rsidR="00927FE1">
        <w:rPr>
          <w:rFonts w:eastAsia="Calibri" w:cs="Arial"/>
          <w:szCs w:val="24"/>
        </w:rPr>
        <w:t>draft Local Plans are examined by the Planning Inspectorate for ‘sound</w:t>
      </w:r>
      <w:r w:rsidR="0070293B">
        <w:rPr>
          <w:rFonts w:eastAsia="Calibri" w:cs="Arial"/>
          <w:szCs w:val="24"/>
        </w:rPr>
        <w:t>n</w:t>
      </w:r>
      <w:r w:rsidR="00927FE1">
        <w:rPr>
          <w:rFonts w:eastAsia="Calibri" w:cs="Arial"/>
          <w:szCs w:val="24"/>
        </w:rPr>
        <w:t>ess’; plans m</w:t>
      </w:r>
      <w:r w:rsidR="0070293B">
        <w:rPr>
          <w:rFonts w:eastAsia="Calibri" w:cs="Arial"/>
          <w:szCs w:val="24"/>
        </w:rPr>
        <w:t xml:space="preserve">ust be found sound before they can be adopted by the Council. </w:t>
      </w:r>
      <w:r w:rsidR="0060745D">
        <w:rPr>
          <w:rFonts w:eastAsia="Calibri" w:cs="Arial"/>
          <w:szCs w:val="24"/>
        </w:rPr>
        <w:t>One of the ‘tests of soundness’ under the National Planning Policy Framework (NPPF) is that a plan must be ‘</w:t>
      </w:r>
      <w:r w:rsidR="00611E77">
        <w:rPr>
          <w:rFonts w:eastAsia="Calibri" w:cs="Arial"/>
          <w:szCs w:val="24"/>
        </w:rPr>
        <w:t xml:space="preserve">justified’. </w:t>
      </w:r>
      <w:r w:rsidR="007111FC">
        <w:rPr>
          <w:rFonts w:eastAsia="Calibri" w:cs="Arial"/>
          <w:szCs w:val="24"/>
        </w:rPr>
        <w:t xml:space="preserve">This means it </w:t>
      </w:r>
      <w:r w:rsidR="002B2C0F">
        <w:rPr>
          <w:rFonts w:eastAsia="Calibri" w:cs="Arial"/>
          <w:szCs w:val="24"/>
        </w:rPr>
        <w:t xml:space="preserve">must </w:t>
      </w:r>
      <w:r w:rsidR="007111FC">
        <w:rPr>
          <w:rFonts w:eastAsia="Calibri" w:cs="Arial"/>
          <w:szCs w:val="24"/>
        </w:rPr>
        <w:t>represent ‘</w:t>
      </w:r>
      <w:r w:rsidR="007111FC" w:rsidRPr="007111FC">
        <w:rPr>
          <w:rFonts w:eastAsia="Calibri" w:cs="Arial"/>
          <w:szCs w:val="24"/>
        </w:rPr>
        <w:t>an appropriate strategy, taking into account the reasonable alternatives, and based on proportionate evidence</w:t>
      </w:r>
      <w:r w:rsidR="007111FC">
        <w:rPr>
          <w:rFonts w:eastAsia="Calibri" w:cs="Arial"/>
          <w:szCs w:val="24"/>
        </w:rPr>
        <w:t>’ (</w:t>
      </w:r>
      <w:r w:rsidR="006A7572">
        <w:rPr>
          <w:rFonts w:eastAsia="Calibri" w:cs="Arial"/>
          <w:szCs w:val="24"/>
        </w:rPr>
        <w:t xml:space="preserve">NPPF, </w:t>
      </w:r>
      <w:r w:rsidR="007111FC">
        <w:rPr>
          <w:rFonts w:eastAsia="Calibri" w:cs="Arial"/>
          <w:szCs w:val="24"/>
        </w:rPr>
        <w:t xml:space="preserve">paragraph </w:t>
      </w:r>
      <w:r w:rsidR="0069219E">
        <w:rPr>
          <w:rFonts w:eastAsia="Calibri" w:cs="Arial"/>
          <w:szCs w:val="24"/>
        </w:rPr>
        <w:t xml:space="preserve">35). </w:t>
      </w:r>
    </w:p>
    <w:p w14:paraId="0D5E19FE" w14:textId="77777777" w:rsidR="004C6E60" w:rsidRDefault="004C6E60" w:rsidP="007E1ED8">
      <w:pPr>
        <w:ind w:left="851" w:hanging="851"/>
        <w:rPr>
          <w:rFonts w:eastAsia="Calibri" w:cs="Arial"/>
          <w:szCs w:val="24"/>
        </w:rPr>
      </w:pPr>
    </w:p>
    <w:p w14:paraId="229E3E0A" w14:textId="147EDAF6" w:rsidR="004C6E60" w:rsidRDefault="004C6E60" w:rsidP="00A76164">
      <w:pPr>
        <w:keepNext/>
        <w:ind w:left="851" w:hanging="851"/>
        <w:rPr>
          <w:rFonts w:eastAsia="Calibri" w:cs="Arial"/>
          <w:szCs w:val="24"/>
        </w:rPr>
      </w:pPr>
      <w:r>
        <w:rPr>
          <w:rFonts w:eastAsia="Calibri" w:cs="Arial"/>
          <w:szCs w:val="24"/>
        </w:rPr>
        <w:t>4.3</w:t>
      </w:r>
      <w:r>
        <w:rPr>
          <w:rFonts w:eastAsia="Calibri" w:cs="Arial"/>
          <w:szCs w:val="24"/>
        </w:rPr>
        <w:tab/>
        <w:t xml:space="preserve">The report to the Panel in March 2023 provided </w:t>
      </w:r>
      <w:r w:rsidR="007B72F7">
        <w:rPr>
          <w:rFonts w:eastAsia="Calibri" w:cs="Arial"/>
          <w:szCs w:val="24"/>
        </w:rPr>
        <w:t xml:space="preserve">details of the evidence base informing the new Local Plan. </w:t>
      </w:r>
      <w:r w:rsidR="00F04908">
        <w:rPr>
          <w:rFonts w:eastAsia="Calibri" w:cs="Arial"/>
          <w:szCs w:val="24"/>
        </w:rPr>
        <w:t>Additional evidence base work commissioned since that time includes:</w:t>
      </w:r>
    </w:p>
    <w:p w14:paraId="3FD3FF34" w14:textId="77777777" w:rsidR="00F04908" w:rsidRDefault="00F04908" w:rsidP="00A76164">
      <w:pPr>
        <w:keepNext/>
        <w:ind w:left="851" w:hanging="851"/>
        <w:rPr>
          <w:rFonts w:eastAsia="Calibri" w:cs="Arial"/>
          <w:szCs w:val="24"/>
        </w:rPr>
      </w:pPr>
    </w:p>
    <w:p w14:paraId="2CCC0596" w14:textId="4C0BE056" w:rsidR="005E255A" w:rsidRDefault="00F04908" w:rsidP="674EA734">
      <w:pPr>
        <w:ind w:left="1701" w:hanging="851"/>
        <w:rPr>
          <w:rFonts w:eastAsia="Calibri" w:cs="Arial"/>
        </w:rPr>
      </w:pPr>
      <w:r w:rsidRPr="674EA734">
        <w:rPr>
          <w:rFonts w:eastAsia="Calibri" w:cs="Arial"/>
        </w:rPr>
        <w:t>(a)</w:t>
      </w:r>
      <w:r>
        <w:rPr>
          <w:rFonts w:eastAsia="Calibri"/>
        </w:rPr>
        <w:tab/>
      </w:r>
      <w:r w:rsidR="00E4681F" w:rsidRPr="674EA734">
        <w:rPr>
          <w:rFonts w:eastAsia="Calibri" w:cs="Arial"/>
          <w:i/>
          <w:iCs/>
        </w:rPr>
        <w:t>Delivering Net Zero study</w:t>
      </w:r>
      <w:r w:rsidR="00E4681F" w:rsidRPr="674EA734">
        <w:rPr>
          <w:rFonts w:eastAsia="Calibri" w:cs="Arial"/>
        </w:rPr>
        <w:t xml:space="preserve"> – this provides an evidence base to support emerging planning policies for 18 London boroughs (including Harrow) seeking to deliver net zero carbon development. The study </w:t>
      </w:r>
      <w:r w:rsidR="000C6582">
        <w:rPr>
          <w:rFonts w:eastAsia="Calibri" w:cs="Arial"/>
        </w:rPr>
        <w:t>tests</w:t>
      </w:r>
      <w:r w:rsidR="00E4681F" w:rsidRPr="674EA734">
        <w:rPr>
          <w:rFonts w:eastAsia="Calibri" w:cs="Arial"/>
        </w:rPr>
        <w:t xml:space="preserve"> two policy option routes</w:t>
      </w:r>
      <w:r w:rsidRPr="674EA734" w:rsidDel="00E4681F">
        <w:rPr>
          <w:rFonts w:eastAsia="Calibri" w:cs="Arial"/>
        </w:rPr>
        <w:t>:</w:t>
      </w:r>
      <w:r w:rsidR="00E4681F" w:rsidRPr="674EA734">
        <w:rPr>
          <w:rFonts w:eastAsia="Calibri" w:cs="Arial"/>
        </w:rPr>
        <w:t xml:space="preserve"> (</w:t>
      </w:r>
      <w:proofErr w:type="spellStart"/>
      <w:r w:rsidR="00E4681F" w:rsidRPr="674EA734">
        <w:rPr>
          <w:rFonts w:eastAsia="Calibri" w:cs="Arial"/>
        </w:rPr>
        <w:t>i</w:t>
      </w:r>
      <w:proofErr w:type="spellEnd"/>
      <w:r w:rsidR="00E4681F" w:rsidRPr="674EA734">
        <w:rPr>
          <w:rFonts w:eastAsia="Calibri" w:cs="Arial"/>
        </w:rPr>
        <w:t xml:space="preserve">) </w:t>
      </w:r>
      <w:r w:rsidR="00F35745" w:rsidRPr="674EA734">
        <w:rPr>
          <w:rFonts w:eastAsia="Calibri" w:cs="Arial"/>
        </w:rPr>
        <w:t>Standard energy policy - f</w:t>
      </w:r>
      <w:r w:rsidR="00E4681F" w:rsidRPr="674EA734">
        <w:rPr>
          <w:rFonts w:eastAsia="Calibri" w:cs="Arial"/>
        </w:rPr>
        <w:t xml:space="preserve">ocusing a single metric, the % reduction in regulated carbon emissions using Building Regulations Part L 2021 compliance modelling tools and (ii) absolute energy targets – </w:t>
      </w:r>
      <w:r w:rsidR="003E33B5" w:rsidRPr="674EA734">
        <w:rPr>
          <w:rFonts w:eastAsia="Calibri" w:cs="Arial"/>
        </w:rPr>
        <w:t>u</w:t>
      </w:r>
      <w:r w:rsidR="00E4681F" w:rsidRPr="674EA734">
        <w:rPr>
          <w:rFonts w:eastAsia="Calibri" w:cs="Arial"/>
        </w:rPr>
        <w:t>sing energy use intensity and space heating demand, calculated using predictive energy modelling tools</w:t>
      </w:r>
      <w:r w:rsidR="00013AC7" w:rsidRPr="674EA734">
        <w:rPr>
          <w:rFonts w:eastAsia="Calibri" w:cs="Arial"/>
        </w:rPr>
        <w:t xml:space="preserve">. </w:t>
      </w:r>
      <w:r w:rsidR="003E33B5" w:rsidRPr="674EA734">
        <w:rPr>
          <w:rFonts w:eastAsia="Calibri" w:cs="Arial"/>
        </w:rPr>
        <w:t>This study has been c</w:t>
      </w:r>
      <w:r w:rsidR="00013AC7" w:rsidRPr="674EA734">
        <w:rPr>
          <w:rFonts w:eastAsia="Calibri" w:cs="Arial"/>
        </w:rPr>
        <w:t>ompleted.</w:t>
      </w:r>
    </w:p>
    <w:p w14:paraId="6593CD23" w14:textId="5F88194B" w:rsidR="00F04908" w:rsidRDefault="002C7577" w:rsidP="00F04908">
      <w:pPr>
        <w:ind w:left="1701" w:hanging="851"/>
        <w:rPr>
          <w:rFonts w:eastAsia="Calibri" w:cs="Arial"/>
          <w:szCs w:val="24"/>
        </w:rPr>
      </w:pPr>
      <w:r>
        <w:rPr>
          <w:rFonts w:eastAsia="Calibri" w:cs="Arial"/>
          <w:szCs w:val="24"/>
        </w:rPr>
        <w:t>(b)</w:t>
      </w:r>
      <w:r>
        <w:rPr>
          <w:rFonts w:eastAsia="Calibri" w:cs="Arial"/>
          <w:szCs w:val="24"/>
        </w:rPr>
        <w:tab/>
      </w:r>
      <w:r w:rsidR="00576580" w:rsidRPr="00A76164">
        <w:rPr>
          <w:rFonts w:eastAsia="Calibri" w:cs="Arial"/>
          <w:i/>
          <w:iCs/>
          <w:szCs w:val="24"/>
        </w:rPr>
        <w:t>Infrastructure Delivery Plan</w:t>
      </w:r>
      <w:r w:rsidR="00333A85" w:rsidRPr="00A76164">
        <w:rPr>
          <w:rFonts w:eastAsia="Calibri" w:cs="Arial"/>
          <w:i/>
          <w:iCs/>
          <w:szCs w:val="24"/>
        </w:rPr>
        <w:t xml:space="preserve"> (IDP)</w:t>
      </w:r>
      <w:r w:rsidR="00576580">
        <w:rPr>
          <w:rFonts w:eastAsia="Calibri" w:cs="Arial"/>
          <w:szCs w:val="24"/>
        </w:rPr>
        <w:t xml:space="preserve"> – to provide evidence on the </w:t>
      </w:r>
      <w:r w:rsidR="00333A85">
        <w:rPr>
          <w:rFonts w:eastAsia="Calibri" w:cs="Arial"/>
          <w:szCs w:val="24"/>
        </w:rPr>
        <w:t>infrastructure</w:t>
      </w:r>
      <w:r w:rsidR="00576580">
        <w:rPr>
          <w:rFonts w:eastAsia="Calibri" w:cs="Arial"/>
          <w:szCs w:val="24"/>
        </w:rPr>
        <w:t xml:space="preserve"> required to support the level of development envisaged in the Local Plan. The Panel considered the initial conte</w:t>
      </w:r>
      <w:r w:rsidR="00333A85">
        <w:rPr>
          <w:rFonts w:eastAsia="Calibri" w:cs="Arial"/>
          <w:szCs w:val="24"/>
        </w:rPr>
        <w:t>xt report for the IDP at its last meeting.</w:t>
      </w:r>
      <w:r w:rsidR="003E33B5">
        <w:rPr>
          <w:rFonts w:eastAsia="Calibri" w:cs="Arial"/>
          <w:szCs w:val="24"/>
        </w:rPr>
        <w:t xml:space="preserve"> Study is ongoing, with </w:t>
      </w:r>
      <w:r w:rsidR="00355AEA">
        <w:rPr>
          <w:rFonts w:eastAsia="Calibri" w:cs="Arial"/>
          <w:szCs w:val="24"/>
        </w:rPr>
        <w:t xml:space="preserve">the </w:t>
      </w:r>
      <w:r w:rsidR="003E33B5">
        <w:rPr>
          <w:rFonts w:eastAsia="Calibri" w:cs="Arial"/>
          <w:szCs w:val="24"/>
        </w:rPr>
        <w:t xml:space="preserve">detailed IDP due </w:t>
      </w:r>
      <w:r w:rsidR="004C4AD5">
        <w:rPr>
          <w:rFonts w:eastAsia="Calibri" w:cs="Arial"/>
          <w:szCs w:val="24"/>
        </w:rPr>
        <w:t xml:space="preserve">in time for the second round of </w:t>
      </w:r>
      <w:r w:rsidR="004C4AD5">
        <w:rPr>
          <w:rFonts w:eastAsia="Calibri" w:cs="Arial"/>
          <w:szCs w:val="24"/>
        </w:rPr>
        <w:lastRenderedPageBreak/>
        <w:t>consultation on the draft Local Plan (Regulation 19</w:t>
      </w:r>
      <w:r w:rsidR="00234239">
        <w:rPr>
          <w:rFonts w:eastAsia="Calibri" w:cs="Arial"/>
          <w:szCs w:val="24"/>
        </w:rPr>
        <w:t xml:space="preserve"> consultation</w:t>
      </w:r>
      <w:r w:rsidR="004C4AD5">
        <w:rPr>
          <w:rFonts w:eastAsia="Calibri" w:cs="Arial"/>
          <w:szCs w:val="24"/>
        </w:rPr>
        <w:t>).</w:t>
      </w:r>
    </w:p>
    <w:p w14:paraId="7EEF8B83" w14:textId="3B7B09CF" w:rsidR="00333A85" w:rsidRDefault="00F80AA8" w:rsidP="00F04908">
      <w:pPr>
        <w:ind w:left="1701" w:hanging="851"/>
        <w:rPr>
          <w:rFonts w:eastAsia="Calibri" w:cs="Arial"/>
          <w:szCs w:val="24"/>
        </w:rPr>
      </w:pPr>
      <w:r>
        <w:rPr>
          <w:rFonts w:eastAsia="Calibri" w:cs="Arial"/>
          <w:szCs w:val="24"/>
        </w:rPr>
        <w:t>(</w:t>
      </w:r>
      <w:r w:rsidR="002C7577">
        <w:rPr>
          <w:rFonts w:eastAsia="Calibri" w:cs="Arial"/>
          <w:szCs w:val="24"/>
        </w:rPr>
        <w:t>c</w:t>
      </w:r>
      <w:r>
        <w:rPr>
          <w:rFonts w:eastAsia="Calibri" w:cs="Arial"/>
          <w:szCs w:val="24"/>
        </w:rPr>
        <w:t>)</w:t>
      </w:r>
      <w:r>
        <w:rPr>
          <w:rFonts w:eastAsia="Calibri" w:cs="Arial"/>
          <w:szCs w:val="24"/>
        </w:rPr>
        <w:tab/>
      </w:r>
      <w:r w:rsidRPr="00A76164">
        <w:rPr>
          <w:rFonts w:eastAsia="Calibri" w:cs="Arial"/>
          <w:i/>
          <w:iCs/>
          <w:szCs w:val="24"/>
        </w:rPr>
        <w:t>Update to the Economic Development Needs Assessment (ED</w:t>
      </w:r>
      <w:r w:rsidR="001009B9" w:rsidRPr="00A76164">
        <w:rPr>
          <w:rFonts w:eastAsia="Calibri" w:cs="Arial"/>
          <w:i/>
          <w:iCs/>
          <w:szCs w:val="24"/>
        </w:rPr>
        <w:t>N</w:t>
      </w:r>
      <w:r w:rsidRPr="00A76164">
        <w:rPr>
          <w:rFonts w:eastAsia="Calibri" w:cs="Arial"/>
          <w:i/>
          <w:iCs/>
          <w:szCs w:val="24"/>
        </w:rPr>
        <w:t>A) 2017</w:t>
      </w:r>
      <w:r>
        <w:rPr>
          <w:rFonts w:eastAsia="Calibri" w:cs="Arial"/>
          <w:szCs w:val="24"/>
        </w:rPr>
        <w:t xml:space="preserve"> – the need to update this has become evident from the Mayor of London’s </w:t>
      </w:r>
      <w:r w:rsidR="00C03052">
        <w:rPr>
          <w:rFonts w:eastAsia="Calibri" w:cs="Arial"/>
          <w:szCs w:val="24"/>
        </w:rPr>
        <w:t>responses to recent local plan consultations in other boroughs</w:t>
      </w:r>
      <w:r w:rsidR="001009B9">
        <w:rPr>
          <w:rFonts w:eastAsia="Calibri" w:cs="Arial"/>
          <w:szCs w:val="24"/>
        </w:rPr>
        <w:t>, as well as significant changes in the economy since 2017 (</w:t>
      </w:r>
      <w:proofErr w:type="gramStart"/>
      <w:r w:rsidR="001009B9">
        <w:rPr>
          <w:rFonts w:eastAsia="Calibri" w:cs="Arial"/>
          <w:szCs w:val="24"/>
        </w:rPr>
        <w:t>i.e.</w:t>
      </w:r>
      <w:proofErr w:type="gramEnd"/>
      <w:r w:rsidR="001009B9">
        <w:rPr>
          <w:rFonts w:eastAsia="Calibri" w:cs="Arial"/>
          <w:szCs w:val="24"/>
        </w:rPr>
        <w:t xml:space="preserve"> increased levels of online shopping</w:t>
      </w:r>
      <w:r w:rsidR="005250E6">
        <w:rPr>
          <w:rFonts w:eastAsia="Calibri" w:cs="Arial"/>
          <w:szCs w:val="24"/>
        </w:rPr>
        <w:t xml:space="preserve"> and people working from home).</w:t>
      </w:r>
      <w:r w:rsidR="00BA4258">
        <w:rPr>
          <w:rFonts w:eastAsia="Calibri" w:cs="Arial"/>
          <w:szCs w:val="24"/>
        </w:rPr>
        <w:t xml:space="preserve"> Draft outcomes of this work are due by the end of November 2023.</w:t>
      </w:r>
    </w:p>
    <w:p w14:paraId="4D4937F3" w14:textId="39CDEE0B" w:rsidR="00B331D5" w:rsidRDefault="00B331D5" w:rsidP="00F04908">
      <w:pPr>
        <w:ind w:left="1701" w:hanging="851"/>
        <w:rPr>
          <w:rFonts w:eastAsia="Calibri" w:cs="Arial"/>
          <w:szCs w:val="24"/>
        </w:rPr>
      </w:pPr>
      <w:r>
        <w:rPr>
          <w:rFonts w:eastAsia="Calibri" w:cs="Arial"/>
          <w:szCs w:val="24"/>
        </w:rPr>
        <w:t>(</w:t>
      </w:r>
      <w:r w:rsidR="002C7577">
        <w:rPr>
          <w:rFonts w:eastAsia="Calibri" w:cs="Arial"/>
          <w:szCs w:val="24"/>
        </w:rPr>
        <w:t>d</w:t>
      </w:r>
      <w:r>
        <w:rPr>
          <w:rFonts w:eastAsia="Calibri" w:cs="Arial"/>
          <w:szCs w:val="24"/>
        </w:rPr>
        <w:t>)</w:t>
      </w:r>
      <w:r>
        <w:rPr>
          <w:rFonts w:eastAsia="Calibri" w:cs="Arial"/>
          <w:szCs w:val="24"/>
        </w:rPr>
        <w:tab/>
      </w:r>
      <w:r w:rsidRPr="00A76164">
        <w:rPr>
          <w:rFonts w:eastAsia="Calibri" w:cs="Arial"/>
          <w:i/>
          <w:iCs/>
          <w:szCs w:val="24"/>
        </w:rPr>
        <w:t>Tall Buildings Study</w:t>
      </w:r>
      <w:r>
        <w:rPr>
          <w:rFonts w:eastAsia="Calibri" w:cs="Arial"/>
          <w:szCs w:val="24"/>
        </w:rPr>
        <w:t xml:space="preserve"> – this is required to </w:t>
      </w:r>
      <w:r w:rsidR="00BA4258">
        <w:rPr>
          <w:rFonts w:eastAsia="Calibri" w:cs="Arial"/>
          <w:szCs w:val="24"/>
        </w:rPr>
        <w:t xml:space="preserve">meet the </w:t>
      </w:r>
      <w:r w:rsidR="008A482F">
        <w:rPr>
          <w:rFonts w:eastAsia="Calibri" w:cs="Arial"/>
          <w:szCs w:val="24"/>
        </w:rPr>
        <w:t>requirements of London Plan Policy D9: Tall Buildings. Draft outcomes of this work are due by the end of November 2023.</w:t>
      </w:r>
    </w:p>
    <w:p w14:paraId="101B294A" w14:textId="7806106C" w:rsidR="008A482F" w:rsidRDefault="0006108E" w:rsidP="00F04908">
      <w:pPr>
        <w:ind w:left="1701" w:hanging="851"/>
        <w:rPr>
          <w:rFonts w:eastAsia="Calibri" w:cs="Arial"/>
          <w:szCs w:val="24"/>
        </w:rPr>
      </w:pPr>
      <w:r>
        <w:rPr>
          <w:rFonts w:eastAsia="Calibri" w:cs="Arial"/>
          <w:szCs w:val="24"/>
        </w:rPr>
        <w:t>(</w:t>
      </w:r>
      <w:r w:rsidR="002C7577">
        <w:rPr>
          <w:rFonts w:eastAsia="Calibri" w:cs="Arial"/>
          <w:szCs w:val="24"/>
        </w:rPr>
        <w:t>e</w:t>
      </w:r>
      <w:r>
        <w:rPr>
          <w:rFonts w:eastAsia="Calibri" w:cs="Arial"/>
          <w:szCs w:val="24"/>
        </w:rPr>
        <w:t>)</w:t>
      </w:r>
      <w:r>
        <w:rPr>
          <w:rFonts w:eastAsia="Calibri" w:cs="Arial"/>
          <w:szCs w:val="24"/>
        </w:rPr>
        <w:tab/>
      </w:r>
      <w:r w:rsidRPr="00A76164">
        <w:rPr>
          <w:rFonts w:eastAsia="Calibri" w:cs="Arial"/>
          <w:i/>
          <w:iCs/>
          <w:szCs w:val="24"/>
        </w:rPr>
        <w:t xml:space="preserve">Integrated Impact Assessment </w:t>
      </w:r>
      <w:r w:rsidR="00FA14B7">
        <w:rPr>
          <w:rFonts w:eastAsia="Calibri" w:cs="Arial"/>
          <w:szCs w:val="24"/>
        </w:rPr>
        <w:t>–</w:t>
      </w:r>
      <w:r>
        <w:rPr>
          <w:rFonts w:eastAsia="Calibri" w:cs="Arial"/>
          <w:szCs w:val="24"/>
        </w:rPr>
        <w:t xml:space="preserve"> </w:t>
      </w:r>
      <w:r w:rsidR="00FA14B7">
        <w:rPr>
          <w:rFonts w:eastAsia="Calibri" w:cs="Arial"/>
          <w:szCs w:val="24"/>
        </w:rPr>
        <w:t xml:space="preserve">this is an assessment of the draft Plan </w:t>
      </w:r>
      <w:r w:rsidR="009823BC">
        <w:rPr>
          <w:rFonts w:eastAsia="Calibri" w:cs="Arial"/>
          <w:szCs w:val="24"/>
        </w:rPr>
        <w:t>having regard to sustainability (</w:t>
      </w:r>
      <w:r w:rsidR="00657B67">
        <w:rPr>
          <w:rFonts w:eastAsia="Calibri" w:cs="Arial"/>
          <w:szCs w:val="24"/>
        </w:rPr>
        <w:t>‘sustainability</w:t>
      </w:r>
      <w:r w:rsidR="001D1AE6">
        <w:rPr>
          <w:rFonts w:eastAsia="Calibri" w:cs="Arial"/>
          <w:szCs w:val="24"/>
        </w:rPr>
        <w:t xml:space="preserve"> appraisal</w:t>
      </w:r>
      <w:r w:rsidR="00657B67">
        <w:rPr>
          <w:rFonts w:eastAsia="Calibri" w:cs="Arial"/>
          <w:szCs w:val="24"/>
        </w:rPr>
        <w:t>’</w:t>
      </w:r>
      <w:r w:rsidR="001D1AE6">
        <w:rPr>
          <w:rFonts w:eastAsia="Calibri" w:cs="Arial"/>
          <w:szCs w:val="24"/>
        </w:rPr>
        <w:t>)</w:t>
      </w:r>
      <w:r w:rsidR="009823BC">
        <w:rPr>
          <w:rFonts w:eastAsia="Calibri" w:cs="Arial"/>
          <w:szCs w:val="24"/>
        </w:rPr>
        <w:t xml:space="preserve">, </w:t>
      </w:r>
      <w:r w:rsidR="00657B67">
        <w:rPr>
          <w:rFonts w:eastAsia="Calibri" w:cs="Arial"/>
          <w:szCs w:val="24"/>
        </w:rPr>
        <w:t>equalities</w:t>
      </w:r>
      <w:r w:rsidR="009823BC">
        <w:rPr>
          <w:rFonts w:eastAsia="Calibri" w:cs="Arial"/>
          <w:szCs w:val="24"/>
        </w:rPr>
        <w:t xml:space="preserve"> </w:t>
      </w:r>
      <w:r w:rsidR="00657B67">
        <w:rPr>
          <w:rFonts w:eastAsia="Calibri" w:cs="Arial"/>
          <w:szCs w:val="24"/>
        </w:rPr>
        <w:t>(‘equalities impact assessment’</w:t>
      </w:r>
      <w:r w:rsidR="00536E58">
        <w:rPr>
          <w:rFonts w:eastAsia="Calibri" w:cs="Arial"/>
          <w:szCs w:val="24"/>
        </w:rPr>
        <w:t>)</w:t>
      </w:r>
      <w:r w:rsidR="00657B67">
        <w:rPr>
          <w:rFonts w:eastAsia="Calibri" w:cs="Arial"/>
          <w:szCs w:val="24"/>
        </w:rPr>
        <w:t xml:space="preserve"> </w:t>
      </w:r>
      <w:r w:rsidR="009823BC">
        <w:rPr>
          <w:rFonts w:eastAsia="Calibri" w:cs="Arial"/>
          <w:szCs w:val="24"/>
        </w:rPr>
        <w:t>and health impact</w:t>
      </w:r>
      <w:r w:rsidR="002B0FBB">
        <w:rPr>
          <w:rFonts w:eastAsia="Calibri" w:cs="Arial"/>
          <w:szCs w:val="24"/>
        </w:rPr>
        <w:t xml:space="preserve">s (‘health impact assessment’). It runs parallel with the Local Plan process and helps test </w:t>
      </w:r>
      <w:r w:rsidR="00D772E2">
        <w:rPr>
          <w:rFonts w:eastAsia="Calibri" w:cs="Arial"/>
          <w:szCs w:val="24"/>
        </w:rPr>
        <w:t>alternatives</w:t>
      </w:r>
      <w:r w:rsidR="002B0FBB">
        <w:rPr>
          <w:rFonts w:eastAsia="Calibri" w:cs="Arial"/>
          <w:szCs w:val="24"/>
        </w:rPr>
        <w:t xml:space="preserve"> and refine policies throughout the Local Plan process</w:t>
      </w:r>
      <w:r w:rsidR="00D772E2">
        <w:rPr>
          <w:rFonts w:eastAsia="Calibri" w:cs="Arial"/>
          <w:szCs w:val="24"/>
        </w:rPr>
        <w:t>.</w:t>
      </w:r>
    </w:p>
    <w:p w14:paraId="74E45D90" w14:textId="77777777" w:rsidR="00611E77" w:rsidRDefault="00611E77" w:rsidP="007E1ED8">
      <w:pPr>
        <w:ind w:left="851" w:hanging="851"/>
        <w:rPr>
          <w:rFonts w:eastAsia="Calibri" w:cs="Arial"/>
          <w:szCs w:val="24"/>
        </w:rPr>
      </w:pPr>
    </w:p>
    <w:p w14:paraId="01C32001" w14:textId="2D20ED90" w:rsidR="00544741" w:rsidRDefault="00544741" w:rsidP="007E1ED8">
      <w:pPr>
        <w:ind w:left="851" w:hanging="851"/>
        <w:rPr>
          <w:rFonts w:eastAsia="Calibri" w:cs="Arial"/>
          <w:szCs w:val="24"/>
        </w:rPr>
      </w:pPr>
      <w:r>
        <w:rPr>
          <w:rFonts w:eastAsia="Calibri" w:cs="Arial"/>
          <w:szCs w:val="24"/>
        </w:rPr>
        <w:t>4.4</w:t>
      </w:r>
      <w:r>
        <w:rPr>
          <w:rFonts w:eastAsia="Calibri" w:cs="Arial"/>
          <w:szCs w:val="24"/>
        </w:rPr>
        <w:tab/>
        <w:t xml:space="preserve">The Council has also procured specialist software </w:t>
      </w:r>
      <w:r w:rsidR="00E91091">
        <w:rPr>
          <w:rFonts w:eastAsia="Calibri" w:cs="Arial"/>
          <w:szCs w:val="24"/>
        </w:rPr>
        <w:t xml:space="preserve">(Urban Intelligence’s ‘Place Maker’ software) </w:t>
      </w:r>
      <w:r>
        <w:rPr>
          <w:rFonts w:eastAsia="Calibri" w:cs="Arial"/>
          <w:szCs w:val="24"/>
        </w:rPr>
        <w:t xml:space="preserve">to </w:t>
      </w:r>
      <w:proofErr w:type="gramStart"/>
      <w:r w:rsidR="00BE3E28">
        <w:rPr>
          <w:rFonts w:eastAsia="Calibri" w:cs="Arial"/>
          <w:szCs w:val="24"/>
        </w:rPr>
        <w:t xml:space="preserve">proactively and efficiently </w:t>
      </w:r>
      <w:r>
        <w:rPr>
          <w:rFonts w:eastAsia="Calibri" w:cs="Arial"/>
          <w:szCs w:val="24"/>
        </w:rPr>
        <w:t>identify potential development sites</w:t>
      </w:r>
      <w:proofErr w:type="gramEnd"/>
      <w:r w:rsidR="00E91091">
        <w:rPr>
          <w:rFonts w:eastAsia="Calibri" w:cs="Arial"/>
          <w:szCs w:val="24"/>
        </w:rPr>
        <w:t xml:space="preserve">, having regard to existing land uses, ownership and planning / infrastructure constraints. </w:t>
      </w:r>
      <w:r w:rsidR="00D92BBC">
        <w:rPr>
          <w:rFonts w:eastAsia="Calibri" w:cs="Arial"/>
          <w:szCs w:val="24"/>
        </w:rPr>
        <w:t xml:space="preserve">The system also has a public facing element which enables developers </w:t>
      </w:r>
      <w:r w:rsidR="00BD3B12">
        <w:rPr>
          <w:rFonts w:eastAsia="Calibri" w:cs="Arial"/>
          <w:szCs w:val="24"/>
        </w:rPr>
        <w:t xml:space="preserve">/ landowners / residents to identify site potentially suitable for development. </w:t>
      </w:r>
    </w:p>
    <w:p w14:paraId="258659F1" w14:textId="77777777" w:rsidR="00544741" w:rsidRDefault="00544741" w:rsidP="007E1ED8">
      <w:pPr>
        <w:ind w:left="851" w:hanging="851"/>
        <w:rPr>
          <w:rFonts w:eastAsia="Calibri" w:cs="Arial"/>
          <w:szCs w:val="24"/>
        </w:rPr>
      </w:pPr>
    </w:p>
    <w:p w14:paraId="36120F74" w14:textId="2BFC1F69" w:rsidR="00FA6CEC" w:rsidRDefault="00FA6CEC" w:rsidP="007E1ED8">
      <w:pPr>
        <w:ind w:left="851" w:hanging="851"/>
        <w:rPr>
          <w:rFonts w:eastAsia="Calibri" w:cs="Arial"/>
          <w:szCs w:val="24"/>
        </w:rPr>
      </w:pPr>
      <w:r>
        <w:rPr>
          <w:rFonts w:eastAsia="Calibri" w:cs="Arial"/>
          <w:szCs w:val="24"/>
        </w:rPr>
        <w:t>4.</w:t>
      </w:r>
      <w:r w:rsidR="003C279F">
        <w:rPr>
          <w:rFonts w:eastAsia="Calibri" w:cs="Arial"/>
          <w:szCs w:val="24"/>
        </w:rPr>
        <w:t>5</w:t>
      </w:r>
      <w:r>
        <w:rPr>
          <w:rFonts w:eastAsia="Calibri" w:cs="Arial"/>
          <w:szCs w:val="24"/>
        </w:rPr>
        <w:tab/>
        <w:t>Once the Local Plan has been drafted</w:t>
      </w:r>
      <w:r w:rsidR="00351304">
        <w:rPr>
          <w:rFonts w:eastAsia="Calibri" w:cs="Arial"/>
          <w:szCs w:val="24"/>
        </w:rPr>
        <w:t xml:space="preserve"> and refined (post first round of consultation), it will be subject to a </w:t>
      </w:r>
      <w:r w:rsidR="005E255A">
        <w:rPr>
          <w:rFonts w:eastAsia="Calibri" w:cs="Arial"/>
          <w:szCs w:val="24"/>
        </w:rPr>
        <w:t xml:space="preserve">Viability Assessment (to ensure the policies collectively don’t make development unviable </w:t>
      </w:r>
      <w:r w:rsidR="00013AC7">
        <w:rPr>
          <w:rFonts w:eastAsia="Calibri" w:cs="Arial"/>
          <w:szCs w:val="24"/>
        </w:rPr>
        <w:t>within the borough</w:t>
      </w:r>
      <w:r w:rsidR="00ED218F">
        <w:rPr>
          <w:rFonts w:eastAsia="Calibri" w:cs="Arial"/>
          <w:szCs w:val="24"/>
        </w:rPr>
        <w:t>)</w:t>
      </w:r>
      <w:r w:rsidR="00013AC7">
        <w:rPr>
          <w:rFonts w:eastAsia="Calibri" w:cs="Arial"/>
          <w:szCs w:val="24"/>
        </w:rPr>
        <w:t xml:space="preserve">. </w:t>
      </w:r>
      <w:r w:rsidR="005849EB">
        <w:rPr>
          <w:rFonts w:eastAsia="Calibri" w:cs="Arial"/>
          <w:szCs w:val="24"/>
        </w:rPr>
        <w:t>Additionally, a</w:t>
      </w:r>
      <w:r w:rsidR="00013AC7">
        <w:rPr>
          <w:rFonts w:eastAsia="Calibri" w:cs="Arial"/>
          <w:szCs w:val="24"/>
        </w:rPr>
        <w:t>ny site allocations (</w:t>
      </w:r>
      <w:proofErr w:type="gramStart"/>
      <w:r w:rsidR="00013AC7">
        <w:rPr>
          <w:rFonts w:eastAsia="Calibri" w:cs="Arial"/>
          <w:szCs w:val="24"/>
        </w:rPr>
        <w:t>i.e.</w:t>
      </w:r>
      <w:proofErr w:type="gramEnd"/>
      <w:r w:rsidR="00013AC7">
        <w:rPr>
          <w:rFonts w:eastAsia="Calibri" w:cs="Arial"/>
          <w:szCs w:val="24"/>
        </w:rPr>
        <w:t xml:space="preserve"> sites specifically identified in the draft Plan as being suitable for development) will be subject to a ‘Level 2’ Strategic Flood Risk Assessment (SFRA). </w:t>
      </w:r>
    </w:p>
    <w:p w14:paraId="44048E49" w14:textId="77777777" w:rsidR="00FA1D26" w:rsidRDefault="00FA1D26" w:rsidP="007E1ED8">
      <w:pPr>
        <w:ind w:left="851" w:hanging="851"/>
        <w:rPr>
          <w:rFonts w:eastAsia="Calibri" w:cs="Arial"/>
          <w:szCs w:val="24"/>
        </w:rPr>
      </w:pPr>
    </w:p>
    <w:p w14:paraId="3024A69B" w14:textId="470DD958" w:rsidR="00FA1D26" w:rsidRDefault="00FA1D26" w:rsidP="007E1ED8">
      <w:pPr>
        <w:ind w:left="851" w:hanging="851"/>
        <w:rPr>
          <w:rFonts w:eastAsia="Calibri" w:cs="Arial"/>
          <w:szCs w:val="24"/>
        </w:rPr>
      </w:pPr>
      <w:r>
        <w:rPr>
          <w:rFonts w:eastAsia="Calibri" w:cs="Arial"/>
          <w:szCs w:val="24"/>
        </w:rPr>
        <w:t>4.6</w:t>
      </w:r>
      <w:r w:rsidR="008B052C">
        <w:rPr>
          <w:rFonts w:eastAsia="Calibri" w:cs="Arial"/>
          <w:szCs w:val="24"/>
        </w:rPr>
        <w:tab/>
      </w:r>
      <w:r w:rsidR="00691519">
        <w:rPr>
          <w:rFonts w:eastAsia="Calibri" w:cs="Arial"/>
          <w:szCs w:val="24"/>
        </w:rPr>
        <w:t xml:space="preserve">An initial </w:t>
      </w:r>
      <w:r w:rsidR="00D4311C">
        <w:rPr>
          <w:rFonts w:eastAsia="Calibri" w:cs="Arial"/>
          <w:szCs w:val="24"/>
        </w:rPr>
        <w:t>conference</w:t>
      </w:r>
      <w:r w:rsidR="00691519">
        <w:rPr>
          <w:rFonts w:eastAsia="Calibri" w:cs="Arial"/>
          <w:szCs w:val="24"/>
        </w:rPr>
        <w:t xml:space="preserve"> has also been held with</w:t>
      </w:r>
      <w:r w:rsidR="00814689">
        <w:rPr>
          <w:rFonts w:eastAsia="Calibri" w:cs="Arial"/>
          <w:szCs w:val="24"/>
        </w:rPr>
        <w:t xml:space="preserve"> Kings Counsel (</w:t>
      </w:r>
      <w:r w:rsidR="002C2DFD" w:rsidRPr="002C2DFD">
        <w:rPr>
          <w:rFonts w:eastAsia="Calibri" w:cs="Arial"/>
          <w:szCs w:val="24"/>
        </w:rPr>
        <w:t>Saira Kabir Sheikh KC</w:t>
      </w:r>
      <w:r w:rsidR="002C2DFD">
        <w:rPr>
          <w:rFonts w:eastAsia="Calibri" w:cs="Arial"/>
          <w:szCs w:val="24"/>
        </w:rPr>
        <w:t xml:space="preserve">) who will be assisting the Council during the Local Plan process. The initial </w:t>
      </w:r>
      <w:r w:rsidR="00D4311C">
        <w:rPr>
          <w:rFonts w:eastAsia="Calibri" w:cs="Arial"/>
          <w:szCs w:val="24"/>
        </w:rPr>
        <w:t>conference focused on</w:t>
      </w:r>
      <w:r w:rsidR="003F238B">
        <w:rPr>
          <w:rFonts w:eastAsia="Calibri" w:cs="Arial"/>
          <w:szCs w:val="24"/>
        </w:rPr>
        <w:t xml:space="preserve"> key parameters </w:t>
      </w:r>
      <w:r w:rsidR="00610BFB">
        <w:rPr>
          <w:rFonts w:eastAsia="Calibri" w:cs="Arial"/>
          <w:szCs w:val="24"/>
        </w:rPr>
        <w:t>influencing</w:t>
      </w:r>
      <w:r w:rsidR="003F238B">
        <w:rPr>
          <w:rFonts w:eastAsia="Calibri" w:cs="Arial"/>
          <w:szCs w:val="24"/>
        </w:rPr>
        <w:t xml:space="preserve"> the Local Plan process, such as the plan period (2021-2041), approach to setting housing targets (London Plan target versus need), and emerging issues </w:t>
      </w:r>
      <w:r w:rsidR="00610BFB">
        <w:rPr>
          <w:rFonts w:eastAsia="Calibri" w:cs="Arial"/>
          <w:szCs w:val="24"/>
        </w:rPr>
        <w:t>from evidence base preparation and policy development. Counsel will be involved in reviewing the draft Local Plan / evidence base before key stages such as consultation (two formal processes)</w:t>
      </w:r>
      <w:r w:rsidR="0099090B">
        <w:rPr>
          <w:rFonts w:eastAsia="Calibri" w:cs="Arial"/>
          <w:szCs w:val="24"/>
        </w:rPr>
        <w:t>,</w:t>
      </w:r>
      <w:r w:rsidR="00610BFB">
        <w:rPr>
          <w:rFonts w:eastAsia="Calibri" w:cs="Arial"/>
          <w:szCs w:val="24"/>
        </w:rPr>
        <w:t xml:space="preserve"> submission to Government</w:t>
      </w:r>
      <w:r w:rsidR="0099090B">
        <w:rPr>
          <w:rFonts w:eastAsia="Calibri" w:cs="Arial"/>
          <w:szCs w:val="24"/>
        </w:rPr>
        <w:t xml:space="preserve"> and representing the Council at </w:t>
      </w:r>
      <w:r w:rsidR="00BB55CA">
        <w:rPr>
          <w:rFonts w:eastAsia="Calibri" w:cs="Arial"/>
          <w:szCs w:val="24"/>
        </w:rPr>
        <w:t>hearings as part of the independent examination of the draft Local Plan by the Planning Inspectorate</w:t>
      </w:r>
      <w:r w:rsidR="00610BFB">
        <w:rPr>
          <w:rFonts w:eastAsia="Calibri" w:cs="Arial"/>
          <w:szCs w:val="24"/>
        </w:rPr>
        <w:t>.</w:t>
      </w:r>
    </w:p>
    <w:p w14:paraId="5A2B9375" w14:textId="77777777" w:rsidR="00611E77" w:rsidRDefault="00611E77" w:rsidP="007E1ED8">
      <w:pPr>
        <w:ind w:left="851" w:hanging="851"/>
        <w:rPr>
          <w:rFonts w:eastAsia="Calibri" w:cs="Arial"/>
          <w:szCs w:val="24"/>
        </w:rPr>
      </w:pPr>
    </w:p>
    <w:p w14:paraId="17E913B4" w14:textId="575DDDDC" w:rsidR="00344DEA" w:rsidRPr="00344DEA" w:rsidRDefault="00344DEA" w:rsidP="00A76164">
      <w:pPr>
        <w:keepNext/>
        <w:ind w:left="851"/>
        <w:rPr>
          <w:rFonts w:eastAsia="Calibri" w:cs="Arial"/>
          <w:i/>
          <w:iCs/>
          <w:szCs w:val="24"/>
        </w:rPr>
      </w:pPr>
      <w:r>
        <w:rPr>
          <w:rFonts w:eastAsia="Calibri" w:cs="Arial"/>
          <w:i/>
          <w:iCs/>
          <w:szCs w:val="24"/>
        </w:rPr>
        <w:t>Stakeholder engagement</w:t>
      </w:r>
    </w:p>
    <w:p w14:paraId="52C67D21" w14:textId="77777777" w:rsidR="00344DEA" w:rsidRDefault="00344DEA" w:rsidP="00A76164">
      <w:pPr>
        <w:keepNext/>
        <w:ind w:left="851" w:hanging="851"/>
        <w:rPr>
          <w:rFonts w:eastAsia="Calibri" w:cs="Arial"/>
          <w:szCs w:val="24"/>
        </w:rPr>
      </w:pPr>
    </w:p>
    <w:p w14:paraId="61172CFA" w14:textId="5D3382E6" w:rsidR="00344DEA" w:rsidRDefault="005D4072" w:rsidP="007E1ED8">
      <w:pPr>
        <w:ind w:left="851" w:hanging="851"/>
        <w:rPr>
          <w:rFonts w:eastAsia="Calibri" w:cs="Arial"/>
          <w:szCs w:val="24"/>
        </w:rPr>
      </w:pPr>
      <w:r>
        <w:rPr>
          <w:rFonts w:eastAsia="Calibri" w:cs="Arial"/>
          <w:szCs w:val="24"/>
        </w:rPr>
        <w:t>4.</w:t>
      </w:r>
      <w:r w:rsidR="00610BFB">
        <w:rPr>
          <w:rFonts w:eastAsia="Calibri" w:cs="Arial"/>
          <w:szCs w:val="24"/>
        </w:rPr>
        <w:t>7</w:t>
      </w:r>
      <w:r>
        <w:rPr>
          <w:rFonts w:eastAsia="Calibri" w:cs="Arial"/>
          <w:szCs w:val="24"/>
        </w:rPr>
        <w:tab/>
        <w:t xml:space="preserve">The Local Plan is a key </w:t>
      </w:r>
      <w:r w:rsidR="00C06E63">
        <w:rPr>
          <w:rFonts w:eastAsia="Calibri" w:cs="Arial"/>
          <w:szCs w:val="24"/>
        </w:rPr>
        <w:t>land use</w:t>
      </w:r>
      <w:r>
        <w:rPr>
          <w:rFonts w:eastAsia="Calibri" w:cs="Arial"/>
          <w:szCs w:val="24"/>
        </w:rPr>
        <w:t xml:space="preserve"> policy mechanism for most functions of the Council (</w:t>
      </w:r>
      <w:proofErr w:type="gramStart"/>
      <w:r>
        <w:rPr>
          <w:rFonts w:eastAsia="Calibri" w:cs="Arial"/>
          <w:szCs w:val="24"/>
        </w:rPr>
        <w:t>i.e.</w:t>
      </w:r>
      <w:proofErr w:type="gramEnd"/>
      <w:r>
        <w:rPr>
          <w:rFonts w:eastAsia="Calibri" w:cs="Arial"/>
          <w:szCs w:val="24"/>
        </w:rPr>
        <w:t xml:space="preserve"> housing, </w:t>
      </w:r>
      <w:r w:rsidR="00CD7259">
        <w:rPr>
          <w:rFonts w:eastAsia="Calibri" w:cs="Arial"/>
          <w:szCs w:val="24"/>
        </w:rPr>
        <w:t xml:space="preserve">heritage, </w:t>
      </w:r>
      <w:r>
        <w:rPr>
          <w:rFonts w:eastAsia="Calibri" w:cs="Arial"/>
          <w:szCs w:val="24"/>
        </w:rPr>
        <w:t xml:space="preserve">economic development, transport, </w:t>
      </w:r>
      <w:r w:rsidR="005E0F67">
        <w:rPr>
          <w:rFonts w:eastAsia="Calibri" w:cs="Arial"/>
          <w:szCs w:val="24"/>
        </w:rPr>
        <w:t xml:space="preserve">education, social care, parks, biodiversity) </w:t>
      </w:r>
      <w:r w:rsidR="00CD7259">
        <w:rPr>
          <w:rFonts w:eastAsia="Calibri" w:cs="Arial"/>
          <w:szCs w:val="24"/>
        </w:rPr>
        <w:t xml:space="preserve">and also impacts upon Council landholdings. All relevant areas of the Council </w:t>
      </w:r>
      <w:r w:rsidR="00AF0FC9">
        <w:rPr>
          <w:rFonts w:eastAsia="Calibri" w:cs="Arial"/>
          <w:szCs w:val="24"/>
        </w:rPr>
        <w:t xml:space="preserve">have </w:t>
      </w:r>
      <w:r w:rsidR="00AF0FC9">
        <w:rPr>
          <w:rFonts w:eastAsia="Calibri" w:cs="Arial"/>
          <w:szCs w:val="24"/>
        </w:rPr>
        <w:lastRenderedPageBreak/>
        <w:t xml:space="preserve">been approached with respect to the effectiveness of the current Local Plan, any emerging </w:t>
      </w:r>
      <w:proofErr w:type="gramStart"/>
      <w:r w:rsidR="00AF0FC9">
        <w:rPr>
          <w:rFonts w:eastAsia="Calibri" w:cs="Arial"/>
          <w:szCs w:val="24"/>
        </w:rPr>
        <w:t>issues</w:t>
      </w:r>
      <w:proofErr w:type="gramEnd"/>
      <w:r w:rsidR="00AF0FC9">
        <w:rPr>
          <w:rFonts w:eastAsia="Calibri" w:cs="Arial"/>
          <w:szCs w:val="24"/>
        </w:rPr>
        <w:t xml:space="preserve"> and pressures, and what they would like to see included in the new Local Plan. Many of these service areas are directly involved the drafting of policies relevant to their </w:t>
      </w:r>
      <w:r w:rsidR="00866E1D">
        <w:rPr>
          <w:rFonts w:eastAsia="Calibri" w:cs="Arial"/>
          <w:szCs w:val="24"/>
        </w:rPr>
        <w:t>functions and all will be requested to review relevant policies before the draft Plan is presented to the Panel.</w:t>
      </w:r>
    </w:p>
    <w:p w14:paraId="084117D7" w14:textId="77777777" w:rsidR="00866E1D" w:rsidRDefault="00866E1D" w:rsidP="007E1ED8">
      <w:pPr>
        <w:ind w:left="851" w:hanging="851"/>
        <w:rPr>
          <w:rFonts w:eastAsia="Calibri" w:cs="Arial"/>
          <w:szCs w:val="24"/>
        </w:rPr>
      </w:pPr>
    </w:p>
    <w:p w14:paraId="5F893D9B" w14:textId="3C76A4BF" w:rsidR="008A3DA2" w:rsidRDefault="008A3DA2" w:rsidP="008A3DA2">
      <w:pPr>
        <w:ind w:left="851" w:hanging="851"/>
        <w:rPr>
          <w:rFonts w:eastAsia="Calibri" w:cs="Arial"/>
          <w:szCs w:val="24"/>
        </w:rPr>
      </w:pPr>
      <w:r>
        <w:rPr>
          <w:rFonts w:eastAsia="Calibri" w:cs="Arial"/>
          <w:szCs w:val="24"/>
        </w:rPr>
        <w:t>4.</w:t>
      </w:r>
      <w:r w:rsidR="00610BFB">
        <w:rPr>
          <w:rFonts w:eastAsia="Calibri" w:cs="Arial"/>
          <w:szCs w:val="24"/>
        </w:rPr>
        <w:t>8</w:t>
      </w:r>
      <w:r>
        <w:rPr>
          <w:rFonts w:eastAsia="Calibri" w:cs="Arial"/>
          <w:szCs w:val="24"/>
        </w:rPr>
        <w:tab/>
      </w:r>
      <w:r w:rsidR="00B44B0B">
        <w:rPr>
          <w:rFonts w:eastAsia="Calibri" w:cs="Arial"/>
          <w:szCs w:val="24"/>
        </w:rPr>
        <w:t>S</w:t>
      </w:r>
      <w:r>
        <w:rPr>
          <w:rFonts w:eastAsia="Calibri" w:cs="Arial"/>
          <w:szCs w:val="24"/>
        </w:rPr>
        <w:t>ervice areas have</w:t>
      </w:r>
      <w:r w:rsidR="00A559CA">
        <w:rPr>
          <w:rFonts w:eastAsia="Calibri" w:cs="Arial"/>
          <w:szCs w:val="24"/>
        </w:rPr>
        <w:t xml:space="preserve"> also</w:t>
      </w:r>
      <w:r>
        <w:rPr>
          <w:rFonts w:eastAsia="Calibri" w:cs="Arial"/>
          <w:szCs w:val="24"/>
        </w:rPr>
        <w:t xml:space="preserve"> been in</w:t>
      </w:r>
      <w:r w:rsidR="00B44B0B">
        <w:rPr>
          <w:rFonts w:eastAsia="Calibri" w:cs="Arial"/>
          <w:szCs w:val="24"/>
        </w:rPr>
        <w:t>volved in the preparation of any evidence base documents relevant to their area.</w:t>
      </w:r>
    </w:p>
    <w:p w14:paraId="67F7EDE5" w14:textId="77777777" w:rsidR="008A3DA2" w:rsidRDefault="008A3DA2" w:rsidP="008A3DA2">
      <w:pPr>
        <w:ind w:left="851" w:hanging="851"/>
        <w:rPr>
          <w:rFonts w:eastAsia="Calibri" w:cs="Arial"/>
          <w:szCs w:val="24"/>
        </w:rPr>
      </w:pPr>
    </w:p>
    <w:p w14:paraId="57A61137" w14:textId="0B1E155A" w:rsidR="00866E1D" w:rsidRDefault="00866E1D" w:rsidP="007E1ED8">
      <w:pPr>
        <w:ind w:left="851" w:hanging="851"/>
        <w:rPr>
          <w:rFonts w:eastAsia="Calibri" w:cs="Arial"/>
          <w:szCs w:val="24"/>
        </w:rPr>
      </w:pPr>
      <w:r>
        <w:rPr>
          <w:rFonts w:eastAsia="Calibri" w:cs="Arial"/>
          <w:szCs w:val="24"/>
        </w:rPr>
        <w:t>4.</w:t>
      </w:r>
      <w:r w:rsidR="00610BFB">
        <w:rPr>
          <w:rFonts w:eastAsia="Calibri" w:cs="Arial"/>
          <w:szCs w:val="24"/>
        </w:rPr>
        <w:t>9</w:t>
      </w:r>
      <w:r>
        <w:rPr>
          <w:rFonts w:eastAsia="Calibri" w:cs="Arial"/>
          <w:szCs w:val="24"/>
        </w:rPr>
        <w:tab/>
        <w:t xml:space="preserve">As noted at the Panel’s last meeting, the context report </w:t>
      </w:r>
      <w:r w:rsidR="00EE2049">
        <w:rPr>
          <w:rFonts w:eastAsia="Calibri" w:cs="Arial"/>
          <w:szCs w:val="24"/>
        </w:rPr>
        <w:t xml:space="preserve">for the </w:t>
      </w:r>
      <w:r>
        <w:rPr>
          <w:rFonts w:eastAsia="Calibri" w:cs="Arial"/>
          <w:szCs w:val="24"/>
        </w:rPr>
        <w:t xml:space="preserve">Infrastructure Delivery Plan involved engagement with all relevant internal stakeholders. </w:t>
      </w:r>
      <w:r w:rsidR="00585ED6">
        <w:rPr>
          <w:rFonts w:eastAsia="Calibri" w:cs="Arial"/>
          <w:szCs w:val="24"/>
        </w:rPr>
        <w:t xml:space="preserve">The development of the full </w:t>
      </w:r>
      <w:r w:rsidR="00A559CA">
        <w:rPr>
          <w:rFonts w:eastAsia="Calibri" w:cs="Arial"/>
          <w:szCs w:val="24"/>
        </w:rPr>
        <w:t>Infrastructure</w:t>
      </w:r>
      <w:r w:rsidR="00585ED6">
        <w:rPr>
          <w:rFonts w:eastAsia="Calibri" w:cs="Arial"/>
          <w:szCs w:val="24"/>
        </w:rPr>
        <w:t xml:space="preserve"> Delivery Plan will involve engagement with external st</w:t>
      </w:r>
      <w:r w:rsidR="004C1660">
        <w:rPr>
          <w:rFonts w:eastAsia="Calibri" w:cs="Arial"/>
          <w:szCs w:val="24"/>
        </w:rPr>
        <w:t>akeholder</w:t>
      </w:r>
      <w:r w:rsidR="006B50D3">
        <w:rPr>
          <w:rFonts w:eastAsia="Calibri" w:cs="Arial"/>
          <w:szCs w:val="24"/>
        </w:rPr>
        <w:t xml:space="preserve">s such as the NHS, </w:t>
      </w:r>
      <w:r w:rsidR="00403A99">
        <w:rPr>
          <w:rFonts w:eastAsia="Calibri" w:cs="Arial"/>
          <w:szCs w:val="24"/>
        </w:rPr>
        <w:t>UK Power Networks, Thames Water etc.</w:t>
      </w:r>
    </w:p>
    <w:p w14:paraId="2760E70A" w14:textId="77777777" w:rsidR="00570C71" w:rsidRDefault="00570C71" w:rsidP="007E1ED8">
      <w:pPr>
        <w:ind w:left="851" w:hanging="851"/>
        <w:rPr>
          <w:rFonts w:eastAsia="Calibri" w:cs="Arial"/>
          <w:szCs w:val="24"/>
        </w:rPr>
      </w:pPr>
    </w:p>
    <w:p w14:paraId="5E1D73C9" w14:textId="2C29F1E2" w:rsidR="00570C71" w:rsidRDefault="00AF4BB9" w:rsidP="007E1ED8">
      <w:pPr>
        <w:ind w:left="851" w:hanging="851"/>
        <w:rPr>
          <w:rFonts w:eastAsia="Calibri" w:cs="Arial"/>
          <w:szCs w:val="24"/>
        </w:rPr>
      </w:pPr>
      <w:r>
        <w:rPr>
          <w:rFonts w:eastAsia="Calibri" w:cs="Arial"/>
          <w:szCs w:val="24"/>
        </w:rPr>
        <w:t>4.</w:t>
      </w:r>
      <w:r w:rsidR="00610BFB">
        <w:rPr>
          <w:rFonts w:eastAsia="Calibri" w:cs="Arial"/>
          <w:szCs w:val="24"/>
        </w:rPr>
        <w:t>10</w:t>
      </w:r>
      <w:r>
        <w:rPr>
          <w:rFonts w:eastAsia="Calibri" w:cs="Arial"/>
          <w:szCs w:val="24"/>
        </w:rPr>
        <w:tab/>
        <w:t xml:space="preserve">An initial discussion has been held with the Greater London Authority </w:t>
      </w:r>
      <w:r w:rsidR="00C85390">
        <w:rPr>
          <w:rFonts w:eastAsia="Calibri" w:cs="Arial"/>
          <w:szCs w:val="24"/>
        </w:rPr>
        <w:t xml:space="preserve">(GLA) as the Harrow Local Plan </w:t>
      </w:r>
      <w:r w:rsidR="00AC0D2E">
        <w:rPr>
          <w:rFonts w:eastAsia="Calibri" w:cs="Arial"/>
          <w:szCs w:val="24"/>
        </w:rPr>
        <w:t>must</w:t>
      </w:r>
      <w:r w:rsidR="00C85390">
        <w:rPr>
          <w:rFonts w:eastAsia="Calibri" w:cs="Arial"/>
          <w:szCs w:val="24"/>
        </w:rPr>
        <w:t xml:space="preserve"> be in ‘general’ conformity with the London Plan. </w:t>
      </w:r>
      <w:r w:rsidR="00D31C99">
        <w:rPr>
          <w:rFonts w:eastAsia="Calibri" w:cs="Arial"/>
          <w:szCs w:val="24"/>
        </w:rPr>
        <w:t xml:space="preserve">These discussions were general in nature, focusing on the sorts of issues that </w:t>
      </w:r>
      <w:r w:rsidR="00D1441D">
        <w:rPr>
          <w:rFonts w:eastAsia="Calibri" w:cs="Arial"/>
          <w:szCs w:val="24"/>
        </w:rPr>
        <w:t>have caused issues with general conformity in other boroughs.</w:t>
      </w:r>
      <w:r w:rsidR="004652CA">
        <w:rPr>
          <w:rFonts w:eastAsia="Calibri" w:cs="Arial"/>
          <w:szCs w:val="24"/>
        </w:rPr>
        <w:t xml:space="preserve"> A further discussion will occur before the first formal round of consultation (Regulation 18 consultation) on the draft Local Plan.</w:t>
      </w:r>
    </w:p>
    <w:p w14:paraId="740E56E9" w14:textId="77777777" w:rsidR="008A3DA2" w:rsidRDefault="008A3DA2" w:rsidP="007E1ED8">
      <w:pPr>
        <w:ind w:left="851" w:hanging="851"/>
        <w:rPr>
          <w:rFonts w:eastAsia="Calibri" w:cs="Arial"/>
          <w:szCs w:val="24"/>
        </w:rPr>
      </w:pPr>
    </w:p>
    <w:p w14:paraId="3BB63D2A" w14:textId="7B62EA39" w:rsidR="0057196C" w:rsidRDefault="00851905" w:rsidP="007E1ED8">
      <w:pPr>
        <w:ind w:left="851" w:hanging="851"/>
        <w:rPr>
          <w:rFonts w:eastAsia="Calibri" w:cs="Arial"/>
          <w:szCs w:val="24"/>
        </w:rPr>
      </w:pPr>
      <w:r>
        <w:rPr>
          <w:rFonts w:eastAsia="Calibri" w:cs="Arial"/>
          <w:szCs w:val="24"/>
        </w:rPr>
        <w:t>4.</w:t>
      </w:r>
      <w:r w:rsidR="003C279F">
        <w:rPr>
          <w:rFonts w:eastAsia="Calibri" w:cs="Arial"/>
          <w:szCs w:val="24"/>
        </w:rPr>
        <w:t>1</w:t>
      </w:r>
      <w:r w:rsidR="00610BFB">
        <w:rPr>
          <w:rFonts w:eastAsia="Calibri" w:cs="Arial"/>
          <w:szCs w:val="24"/>
        </w:rPr>
        <w:t>1</w:t>
      </w:r>
      <w:r>
        <w:rPr>
          <w:rFonts w:eastAsia="Calibri" w:cs="Arial"/>
          <w:szCs w:val="24"/>
        </w:rPr>
        <w:tab/>
        <w:t>Duty to Cooperate meetings have been held with a number of adjoining boroughs</w:t>
      </w:r>
      <w:r w:rsidR="00772FD4">
        <w:rPr>
          <w:rFonts w:eastAsia="Calibri" w:cs="Arial"/>
          <w:szCs w:val="24"/>
        </w:rPr>
        <w:t xml:space="preserve"> (</w:t>
      </w:r>
      <w:proofErr w:type="gramStart"/>
      <w:r w:rsidR="00772FD4">
        <w:rPr>
          <w:rFonts w:eastAsia="Calibri" w:cs="Arial"/>
          <w:szCs w:val="24"/>
        </w:rPr>
        <w:t>i.e.</w:t>
      </w:r>
      <w:proofErr w:type="gramEnd"/>
      <w:r w:rsidR="00772FD4">
        <w:rPr>
          <w:rFonts w:eastAsia="Calibri" w:cs="Arial"/>
          <w:szCs w:val="24"/>
        </w:rPr>
        <w:t xml:space="preserve"> Barnet, Ealing, Hertsmere)</w:t>
      </w:r>
      <w:r w:rsidR="00C114BC">
        <w:rPr>
          <w:rFonts w:eastAsia="Calibri" w:cs="Arial"/>
          <w:szCs w:val="24"/>
        </w:rPr>
        <w:t xml:space="preserve">, with other to </w:t>
      </w:r>
      <w:r w:rsidR="00442DB4">
        <w:rPr>
          <w:rFonts w:eastAsia="Calibri" w:cs="Arial"/>
          <w:szCs w:val="24"/>
        </w:rPr>
        <w:t>be held shortly</w:t>
      </w:r>
      <w:r w:rsidR="00772FD4">
        <w:rPr>
          <w:rFonts w:eastAsia="Calibri" w:cs="Arial"/>
          <w:szCs w:val="24"/>
        </w:rPr>
        <w:t xml:space="preserve">. </w:t>
      </w:r>
      <w:r w:rsidR="00FD07F9">
        <w:rPr>
          <w:rFonts w:eastAsia="Calibri" w:cs="Arial"/>
          <w:szCs w:val="24"/>
        </w:rPr>
        <w:t xml:space="preserve">The Duty to Cooperate is a requirement </w:t>
      </w:r>
      <w:r w:rsidR="001C59BF">
        <w:rPr>
          <w:rFonts w:eastAsia="Calibri" w:cs="Arial"/>
          <w:szCs w:val="24"/>
        </w:rPr>
        <w:t>of the plan making process; it was largely intended to replace the system of formal regional spatial strategies in England</w:t>
      </w:r>
      <w:r w:rsidR="00DF6540">
        <w:rPr>
          <w:rFonts w:eastAsia="Calibri" w:cs="Arial"/>
          <w:szCs w:val="24"/>
        </w:rPr>
        <w:t xml:space="preserve"> to address cross-borough planning issues of a strategic nature (</w:t>
      </w:r>
      <w:proofErr w:type="gramStart"/>
      <w:r w:rsidR="00DF6540">
        <w:rPr>
          <w:rFonts w:eastAsia="Calibri" w:cs="Arial"/>
          <w:szCs w:val="24"/>
        </w:rPr>
        <w:t>i.e.</w:t>
      </w:r>
      <w:proofErr w:type="gramEnd"/>
      <w:r w:rsidR="00DF6540">
        <w:rPr>
          <w:rFonts w:eastAsia="Calibri" w:cs="Arial"/>
          <w:szCs w:val="24"/>
        </w:rPr>
        <w:t xml:space="preserve"> housing and employment need, infrastructure</w:t>
      </w:r>
      <w:r w:rsidR="00AB063E">
        <w:rPr>
          <w:rFonts w:eastAsia="Calibri" w:cs="Arial"/>
          <w:szCs w:val="24"/>
        </w:rPr>
        <w:t xml:space="preserve"> etc</w:t>
      </w:r>
      <w:r w:rsidR="00DF6540">
        <w:rPr>
          <w:rFonts w:eastAsia="Calibri" w:cs="Arial"/>
          <w:szCs w:val="24"/>
        </w:rPr>
        <w:t xml:space="preserve">). </w:t>
      </w:r>
    </w:p>
    <w:p w14:paraId="62EFB444" w14:textId="77777777" w:rsidR="00344DEA" w:rsidRDefault="00344DEA" w:rsidP="007E1ED8">
      <w:pPr>
        <w:ind w:left="851" w:hanging="851"/>
        <w:rPr>
          <w:rFonts w:eastAsia="Calibri" w:cs="Arial"/>
          <w:szCs w:val="24"/>
        </w:rPr>
      </w:pPr>
    </w:p>
    <w:p w14:paraId="7F6D9565" w14:textId="29F73E7D" w:rsidR="00A32B69" w:rsidRPr="004D1F0E" w:rsidRDefault="004D1F0E" w:rsidP="00A76164">
      <w:pPr>
        <w:keepNext/>
        <w:ind w:left="851"/>
        <w:rPr>
          <w:rFonts w:eastAsia="Calibri" w:cs="Arial"/>
          <w:i/>
          <w:iCs/>
          <w:szCs w:val="24"/>
        </w:rPr>
      </w:pPr>
      <w:r w:rsidRPr="004D1F0E">
        <w:rPr>
          <w:rFonts w:eastAsia="Calibri" w:cs="Arial"/>
          <w:i/>
          <w:iCs/>
          <w:szCs w:val="24"/>
        </w:rPr>
        <w:t>Plan drafting</w:t>
      </w:r>
    </w:p>
    <w:p w14:paraId="3D53DE69" w14:textId="77777777" w:rsidR="00A32B69" w:rsidRDefault="00A32B69" w:rsidP="00A76164">
      <w:pPr>
        <w:keepNext/>
        <w:ind w:left="851" w:hanging="851"/>
        <w:rPr>
          <w:rFonts w:eastAsia="Calibri" w:cs="Arial"/>
          <w:szCs w:val="24"/>
        </w:rPr>
      </w:pPr>
    </w:p>
    <w:p w14:paraId="0DE82324" w14:textId="5B539A22" w:rsidR="00654F24" w:rsidRDefault="003933EF" w:rsidP="007E1ED8">
      <w:pPr>
        <w:ind w:left="851" w:hanging="851"/>
        <w:rPr>
          <w:rFonts w:eastAsia="Calibri" w:cs="Arial"/>
          <w:szCs w:val="24"/>
        </w:rPr>
      </w:pPr>
      <w:r>
        <w:rPr>
          <w:rFonts w:eastAsia="Calibri" w:cs="Arial"/>
          <w:szCs w:val="24"/>
        </w:rPr>
        <w:t>4.1</w:t>
      </w:r>
      <w:r w:rsidR="00610BFB">
        <w:rPr>
          <w:rFonts w:eastAsia="Calibri" w:cs="Arial"/>
          <w:szCs w:val="24"/>
        </w:rPr>
        <w:t>2</w:t>
      </w:r>
      <w:r>
        <w:rPr>
          <w:rFonts w:eastAsia="Calibri" w:cs="Arial"/>
          <w:szCs w:val="24"/>
        </w:rPr>
        <w:tab/>
        <w:t>Significant progress has been made on the drafting of the new Local Plan.</w:t>
      </w:r>
      <w:r w:rsidR="00201A9F">
        <w:rPr>
          <w:rFonts w:eastAsia="Calibri" w:cs="Arial"/>
          <w:szCs w:val="24"/>
        </w:rPr>
        <w:t xml:space="preserve"> The draft table of contents is included at Appendix 1.</w:t>
      </w:r>
      <w:r w:rsidR="006826C3">
        <w:rPr>
          <w:rFonts w:eastAsia="Calibri" w:cs="Arial"/>
          <w:szCs w:val="24"/>
        </w:rPr>
        <w:t xml:space="preserve"> </w:t>
      </w:r>
      <w:r w:rsidR="00654F24">
        <w:rPr>
          <w:rFonts w:eastAsia="Calibri" w:cs="Arial"/>
          <w:szCs w:val="24"/>
        </w:rPr>
        <w:t xml:space="preserve">The table of contents is evolving as policies are drafted, with </w:t>
      </w:r>
      <w:r w:rsidR="007610C3">
        <w:rPr>
          <w:rFonts w:eastAsia="Calibri" w:cs="Arial"/>
          <w:szCs w:val="24"/>
        </w:rPr>
        <w:t>several</w:t>
      </w:r>
      <w:r w:rsidR="00654F24">
        <w:rPr>
          <w:rFonts w:eastAsia="Calibri" w:cs="Arial"/>
          <w:szCs w:val="24"/>
        </w:rPr>
        <w:t xml:space="preserve"> policies being consolidated</w:t>
      </w:r>
      <w:r w:rsidR="007610C3">
        <w:rPr>
          <w:rFonts w:eastAsia="Calibri" w:cs="Arial"/>
          <w:szCs w:val="24"/>
        </w:rPr>
        <w:t xml:space="preserve"> where possible and additional ones a</w:t>
      </w:r>
      <w:r w:rsidR="003A5EE0">
        <w:rPr>
          <w:rFonts w:eastAsia="Calibri" w:cs="Arial"/>
          <w:szCs w:val="24"/>
        </w:rPr>
        <w:t>dded where the need becomes evident</w:t>
      </w:r>
      <w:r w:rsidR="00654F24">
        <w:rPr>
          <w:rFonts w:eastAsia="Calibri" w:cs="Arial"/>
          <w:szCs w:val="24"/>
        </w:rPr>
        <w:t>.</w:t>
      </w:r>
    </w:p>
    <w:p w14:paraId="0C87336E" w14:textId="77777777" w:rsidR="00654F24" w:rsidRDefault="00654F24" w:rsidP="007E1ED8">
      <w:pPr>
        <w:ind w:left="851" w:hanging="851"/>
        <w:rPr>
          <w:rFonts w:eastAsia="Calibri" w:cs="Arial"/>
          <w:szCs w:val="24"/>
        </w:rPr>
      </w:pPr>
    </w:p>
    <w:p w14:paraId="635B87C8" w14:textId="6EE93150" w:rsidR="00A32B69" w:rsidRDefault="00654F24" w:rsidP="007E1ED8">
      <w:pPr>
        <w:ind w:left="851" w:hanging="851"/>
        <w:rPr>
          <w:rFonts w:eastAsia="Calibri" w:cs="Arial"/>
          <w:szCs w:val="24"/>
        </w:rPr>
      </w:pPr>
      <w:r>
        <w:rPr>
          <w:rFonts w:eastAsia="Calibri" w:cs="Arial"/>
          <w:szCs w:val="24"/>
        </w:rPr>
        <w:t>4.1</w:t>
      </w:r>
      <w:r w:rsidR="00610BFB">
        <w:rPr>
          <w:rFonts w:eastAsia="Calibri" w:cs="Arial"/>
          <w:szCs w:val="24"/>
        </w:rPr>
        <w:t>3</w:t>
      </w:r>
      <w:r>
        <w:rPr>
          <w:rFonts w:eastAsia="Calibri" w:cs="Arial"/>
          <w:szCs w:val="24"/>
        </w:rPr>
        <w:tab/>
      </w:r>
      <w:r w:rsidR="006826C3">
        <w:rPr>
          <w:rFonts w:eastAsia="Calibri" w:cs="Arial"/>
          <w:szCs w:val="24"/>
        </w:rPr>
        <w:t xml:space="preserve">This report seeks members comment and feedback on the overarching spatial </w:t>
      </w:r>
      <w:r w:rsidR="003F4F68">
        <w:rPr>
          <w:rFonts w:eastAsia="Calibri" w:cs="Arial"/>
          <w:szCs w:val="24"/>
        </w:rPr>
        <w:t>vision and objectives for the new Local Plan</w:t>
      </w:r>
      <w:r>
        <w:rPr>
          <w:rFonts w:eastAsia="Calibri" w:cs="Arial"/>
          <w:szCs w:val="24"/>
        </w:rPr>
        <w:t xml:space="preserve"> (see section 5 below)</w:t>
      </w:r>
      <w:r w:rsidR="003F4F68">
        <w:rPr>
          <w:rFonts w:eastAsia="Calibri" w:cs="Arial"/>
          <w:szCs w:val="24"/>
        </w:rPr>
        <w:t>.</w:t>
      </w:r>
    </w:p>
    <w:p w14:paraId="4D556E48" w14:textId="77777777" w:rsidR="003F4F68" w:rsidRDefault="003F4F68" w:rsidP="007E1ED8">
      <w:pPr>
        <w:ind w:left="851" w:hanging="851"/>
        <w:rPr>
          <w:rFonts w:eastAsia="Calibri" w:cs="Arial"/>
          <w:szCs w:val="24"/>
        </w:rPr>
      </w:pPr>
    </w:p>
    <w:p w14:paraId="51028048" w14:textId="5D325231" w:rsidR="003F4F68" w:rsidRPr="003F4F68" w:rsidRDefault="003F4F68" w:rsidP="003972EA">
      <w:pPr>
        <w:pStyle w:val="Heading3"/>
        <w:keepNext/>
        <w:ind w:left="851" w:hanging="851"/>
        <w:jc w:val="left"/>
      </w:pPr>
      <w:r w:rsidRPr="003F4F68">
        <w:t>5.0</w:t>
      </w:r>
      <w:r w:rsidRPr="003F4F68">
        <w:tab/>
        <w:t xml:space="preserve">Draft </w:t>
      </w:r>
      <w:r w:rsidR="00F934F5">
        <w:t xml:space="preserve">Borough Profile, </w:t>
      </w:r>
      <w:r w:rsidRPr="003F4F68">
        <w:t xml:space="preserve">Spatial </w:t>
      </w:r>
      <w:proofErr w:type="gramStart"/>
      <w:r w:rsidRPr="003F4F68">
        <w:t>Vision</w:t>
      </w:r>
      <w:proofErr w:type="gramEnd"/>
      <w:r w:rsidRPr="003F4F68">
        <w:t xml:space="preserve"> and Objectives</w:t>
      </w:r>
    </w:p>
    <w:p w14:paraId="266D1FC3" w14:textId="77777777" w:rsidR="00A32B69" w:rsidRDefault="00A32B69" w:rsidP="003972EA">
      <w:pPr>
        <w:keepNext/>
        <w:ind w:left="851" w:hanging="851"/>
        <w:rPr>
          <w:rFonts w:eastAsia="Calibri" w:cs="Arial"/>
          <w:szCs w:val="24"/>
        </w:rPr>
      </w:pPr>
    </w:p>
    <w:p w14:paraId="7C7C1962" w14:textId="3EC5E742" w:rsidR="003972EA" w:rsidRPr="003972EA" w:rsidRDefault="003972EA" w:rsidP="003972EA">
      <w:pPr>
        <w:keepNext/>
        <w:ind w:left="851"/>
        <w:rPr>
          <w:rFonts w:eastAsia="Calibri" w:cs="Arial"/>
          <w:i/>
          <w:iCs/>
          <w:szCs w:val="24"/>
        </w:rPr>
      </w:pPr>
      <w:r>
        <w:rPr>
          <w:rFonts w:eastAsia="Calibri" w:cs="Arial"/>
          <w:i/>
          <w:iCs/>
          <w:szCs w:val="24"/>
        </w:rPr>
        <w:t>Draft brough profile</w:t>
      </w:r>
    </w:p>
    <w:p w14:paraId="14945384" w14:textId="77777777" w:rsidR="003972EA" w:rsidRDefault="003972EA" w:rsidP="003972EA">
      <w:pPr>
        <w:keepNext/>
        <w:ind w:left="851" w:hanging="851"/>
        <w:rPr>
          <w:rFonts w:eastAsia="Calibri" w:cs="Arial"/>
          <w:szCs w:val="24"/>
        </w:rPr>
      </w:pPr>
    </w:p>
    <w:p w14:paraId="73576288" w14:textId="1DB56A49" w:rsidR="00F934F5" w:rsidRDefault="00F934F5" w:rsidP="005F29CF">
      <w:pPr>
        <w:ind w:left="851" w:hanging="851"/>
        <w:rPr>
          <w:rFonts w:eastAsia="Calibri" w:cs="Arial"/>
          <w:szCs w:val="24"/>
        </w:rPr>
      </w:pPr>
      <w:r>
        <w:rPr>
          <w:rFonts w:eastAsia="Calibri" w:cs="Arial"/>
          <w:szCs w:val="24"/>
        </w:rPr>
        <w:t>5.1</w:t>
      </w:r>
      <w:r>
        <w:rPr>
          <w:rFonts w:eastAsia="Calibri" w:cs="Arial"/>
          <w:szCs w:val="24"/>
        </w:rPr>
        <w:tab/>
        <w:t xml:space="preserve">Appendix </w:t>
      </w:r>
      <w:r w:rsidR="00195D72">
        <w:rPr>
          <w:rFonts w:eastAsia="Calibri" w:cs="Arial"/>
          <w:szCs w:val="24"/>
        </w:rPr>
        <w:t>2</w:t>
      </w:r>
      <w:r>
        <w:rPr>
          <w:rFonts w:eastAsia="Calibri" w:cs="Arial"/>
          <w:szCs w:val="24"/>
        </w:rPr>
        <w:t xml:space="preserve"> sets out a ‘borough profile’ that will form the context for the new Local Plan. It seeks to capture key statistics and characteristics of the borough which inform the preparation of the new Local Plan and the issues it seeks to respond to.</w:t>
      </w:r>
      <w:r w:rsidR="00746899">
        <w:rPr>
          <w:rFonts w:eastAsia="Calibri" w:cs="Arial"/>
          <w:szCs w:val="24"/>
        </w:rPr>
        <w:t xml:space="preserve"> Members of the </w:t>
      </w:r>
      <w:r w:rsidR="00746899">
        <w:rPr>
          <w:rFonts w:eastAsia="Calibri" w:cs="Arial"/>
          <w:szCs w:val="24"/>
        </w:rPr>
        <w:lastRenderedPageBreak/>
        <w:t xml:space="preserve">Panel are invited to comment on the draft profile with respect to </w:t>
      </w:r>
      <w:r w:rsidR="003972EA">
        <w:rPr>
          <w:rFonts w:eastAsia="Calibri" w:cs="Arial"/>
          <w:szCs w:val="24"/>
        </w:rPr>
        <w:t>the key points it draws out, any omissions and any general comments.</w:t>
      </w:r>
    </w:p>
    <w:p w14:paraId="6357240A" w14:textId="77777777" w:rsidR="00C22686" w:rsidRDefault="00C22686" w:rsidP="005F29CF">
      <w:pPr>
        <w:ind w:left="851" w:hanging="851"/>
        <w:rPr>
          <w:rFonts w:eastAsia="Calibri" w:cs="Arial"/>
          <w:szCs w:val="24"/>
        </w:rPr>
      </w:pPr>
    </w:p>
    <w:p w14:paraId="45B21CC7" w14:textId="76E6CC37" w:rsidR="00C22686" w:rsidRDefault="00C22686" w:rsidP="005F29CF">
      <w:pPr>
        <w:ind w:left="851" w:hanging="851"/>
        <w:rPr>
          <w:rFonts w:eastAsia="Calibri" w:cs="Arial"/>
          <w:szCs w:val="24"/>
        </w:rPr>
      </w:pPr>
      <w:r>
        <w:rPr>
          <w:rFonts w:eastAsia="Calibri" w:cs="Arial"/>
          <w:szCs w:val="24"/>
        </w:rPr>
        <w:t>5.2</w:t>
      </w:r>
      <w:r>
        <w:rPr>
          <w:rFonts w:eastAsia="Calibri" w:cs="Arial"/>
          <w:szCs w:val="24"/>
        </w:rPr>
        <w:tab/>
      </w:r>
      <w:r w:rsidR="00D10040">
        <w:rPr>
          <w:rFonts w:eastAsia="Calibri" w:cs="Arial"/>
          <w:szCs w:val="24"/>
        </w:rPr>
        <w:t xml:space="preserve">As the Local Plan process progresses, </w:t>
      </w:r>
      <w:proofErr w:type="gramStart"/>
      <w:r w:rsidR="00D10040">
        <w:rPr>
          <w:rFonts w:eastAsia="Calibri" w:cs="Arial"/>
          <w:szCs w:val="24"/>
        </w:rPr>
        <w:t>info-graphics</w:t>
      </w:r>
      <w:proofErr w:type="gramEnd"/>
      <w:r w:rsidR="00D10040">
        <w:rPr>
          <w:rFonts w:eastAsia="Calibri" w:cs="Arial"/>
          <w:szCs w:val="24"/>
        </w:rPr>
        <w:t xml:space="preserve"> and maps will be developed to</w:t>
      </w:r>
      <w:r w:rsidR="00D70C34">
        <w:rPr>
          <w:rFonts w:eastAsia="Calibri" w:cs="Arial"/>
          <w:szCs w:val="24"/>
        </w:rPr>
        <w:t xml:space="preserve"> better visually depict the data included in the profile.</w:t>
      </w:r>
    </w:p>
    <w:p w14:paraId="17731188" w14:textId="77777777" w:rsidR="00F934F5" w:rsidRDefault="00F934F5" w:rsidP="005F29CF">
      <w:pPr>
        <w:ind w:left="851" w:hanging="851"/>
        <w:rPr>
          <w:rFonts w:eastAsia="Calibri" w:cs="Arial"/>
          <w:szCs w:val="24"/>
        </w:rPr>
      </w:pPr>
    </w:p>
    <w:p w14:paraId="11B79763" w14:textId="51EB6D88" w:rsidR="003972EA" w:rsidRDefault="00535FB1" w:rsidP="00535FB1">
      <w:pPr>
        <w:keepNext/>
        <w:ind w:left="851"/>
        <w:rPr>
          <w:rFonts w:eastAsia="Calibri" w:cs="Arial"/>
          <w:szCs w:val="24"/>
        </w:rPr>
      </w:pPr>
      <w:r>
        <w:rPr>
          <w:rFonts w:eastAsia="Calibri" w:cs="Arial"/>
          <w:i/>
          <w:iCs/>
          <w:szCs w:val="24"/>
        </w:rPr>
        <w:t>D</w:t>
      </w:r>
      <w:r w:rsidRPr="00535FB1">
        <w:rPr>
          <w:rFonts w:eastAsia="Calibri" w:cs="Arial"/>
          <w:i/>
          <w:iCs/>
          <w:szCs w:val="24"/>
        </w:rPr>
        <w:t xml:space="preserve">raft spatial vision, spatial strategy and spatial </w:t>
      </w:r>
      <w:proofErr w:type="gramStart"/>
      <w:r w:rsidRPr="00535FB1">
        <w:rPr>
          <w:rFonts w:eastAsia="Calibri" w:cs="Arial"/>
          <w:i/>
          <w:iCs/>
          <w:szCs w:val="24"/>
        </w:rPr>
        <w:t>objectives</w:t>
      </w:r>
      <w:proofErr w:type="gramEnd"/>
    </w:p>
    <w:p w14:paraId="29E97422" w14:textId="77777777" w:rsidR="003972EA" w:rsidRDefault="003972EA" w:rsidP="00535FB1">
      <w:pPr>
        <w:keepNext/>
        <w:ind w:left="851" w:hanging="851"/>
        <w:rPr>
          <w:rFonts w:eastAsia="Calibri" w:cs="Arial"/>
          <w:szCs w:val="24"/>
        </w:rPr>
      </w:pPr>
    </w:p>
    <w:p w14:paraId="2A96C1FF" w14:textId="51DAC933" w:rsidR="00116D1E" w:rsidRPr="005F29CF" w:rsidRDefault="005F29CF" w:rsidP="005F29CF">
      <w:pPr>
        <w:ind w:left="851" w:hanging="851"/>
        <w:rPr>
          <w:rFonts w:eastAsia="Calibri" w:cs="Arial"/>
          <w:szCs w:val="24"/>
        </w:rPr>
      </w:pPr>
      <w:r>
        <w:rPr>
          <w:rFonts w:eastAsia="Calibri" w:cs="Arial"/>
          <w:szCs w:val="24"/>
        </w:rPr>
        <w:t>5.</w:t>
      </w:r>
      <w:r w:rsidR="00D70C34">
        <w:rPr>
          <w:rFonts w:eastAsia="Calibri" w:cs="Arial"/>
          <w:szCs w:val="24"/>
        </w:rPr>
        <w:t>3</w:t>
      </w:r>
      <w:r>
        <w:rPr>
          <w:rFonts w:eastAsia="Calibri" w:cs="Arial"/>
          <w:szCs w:val="24"/>
        </w:rPr>
        <w:tab/>
      </w:r>
      <w:r w:rsidR="00205E81">
        <w:rPr>
          <w:rFonts w:eastAsia="Calibri" w:cs="Arial"/>
          <w:szCs w:val="24"/>
        </w:rPr>
        <w:t xml:space="preserve">Appendix </w:t>
      </w:r>
      <w:r w:rsidR="00195D72">
        <w:rPr>
          <w:rFonts w:eastAsia="Calibri" w:cs="Arial"/>
          <w:szCs w:val="24"/>
        </w:rPr>
        <w:t>3</w:t>
      </w:r>
      <w:r w:rsidR="00205E81">
        <w:rPr>
          <w:rFonts w:eastAsia="Calibri" w:cs="Arial"/>
          <w:szCs w:val="24"/>
        </w:rPr>
        <w:t xml:space="preserve"> set</w:t>
      </w:r>
      <w:r w:rsidR="002A50EF">
        <w:rPr>
          <w:rFonts w:eastAsia="Calibri" w:cs="Arial"/>
          <w:szCs w:val="24"/>
        </w:rPr>
        <w:t>s</w:t>
      </w:r>
      <w:r w:rsidR="00205E81">
        <w:rPr>
          <w:rFonts w:eastAsia="Calibri" w:cs="Arial"/>
          <w:szCs w:val="24"/>
        </w:rPr>
        <w:t xml:space="preserve"> out</w:t>
      </w:r>
      <w:r w:rsidR="00116D1E" w:rsidRPr="005F29CF">
        <w:rPr>
          <w:rFonts w:eastAsia="Calibri" w:cs="Arial"/>
          <w:szCs w:val="24"/>
        </w:rPr>
        <w:t xml:space="preserve"> the initial draft spatial vision, spatial </w:t>
      </w:r>
      <w:proofErr w:type="gramStart"/>
      <w:r w:rsidR="00116D1E" w:rsidRPr="005F29CF">
        <w:rPr>
          <w:rFonts w:eastAsia="Calibri" w:cs="Arial"/>
          <w:szCs w:val="24"/>
        </w:rPr>
        <w:t>strategy</w:t>
      </w:r>
      <w:proofErr w:type="gramEnd"/>
      <w:r w:rsidR="00116D1E" w:rsidRPr="005F29CF">
        <w:rPr>
          <w:rFonts w:eastAsia="Calibri" w:cs="Arial"/>
          <w:szCs w:val="24"/>
        </w:rPr>
        <w:t xml:space="preserve"> and spatial objectives for the new Harrow Local Plan. These have been developed having regard to the current Local Plan, previous discussions with members, the emerging evidence base for the new Local Plan, and relevant corporate strategies such as the Corporate Plan. </w:t>
      </w:r>
    </w:p>
    <w:p w14:paraId="2881DE26" w14:textId="77777777" w:rsidR="00535FB1" w:rsidRDefault="00535FB1" w:rsidP="005F29CF">
      <w:pPr>
        <w:ind w:left="851" w:hanging="851"/>
        <w:rPr>
          <w:rFonts w:eastAsia="Calibri" w:cs="Arial"/>
          <w:szCs w:val="24"/>
        </w:rPr>
      </w:pPr>
    </w:p>
    <w:p w14:paraId="749D1D83" w14:textId="3E95BD03" w:rsidR="00116D1E" w:rsidRPr="005F29CF" w:rsidRDefault="00205E81" w:rsidP="005F29CF">
      <w:pPr>
        <w:ind w:left="851" w:hanging="851"/>
        <w:rPr>
          <w:rFonts w:eastAsia="Calibri" w:cs="Arial"/>
          <w:szCs w:val="24"/>
        </w:rPr>
      </w:pPr>
      <w:r>
        <w:rPr>
          <w:rFonts w:eastAsia="Calibri" w:cs="Arial"/>
          <w:szCs w:val="24"/>
        </w:rPr>
        <w:t>5.</w:t>
      </w:r>
      <w:r w:rsidR="00D70C34">
        <w:rPr>
          <w:rFonts w:eastAsia="Calibri" w:cs="Arial"/>
          <w:szCs w:val="24"/>
        </w:rPr>
        <w:t>4</w:t>
      </w:r>
      <w:r>
        <w:rPr>
          <w:rFonts w:eastAsia="Calibri" w:cs="Arial"/>
          <w:szCs w:val="24"/>
        </w:rPr>
        <w:tab/>
      </w:r>
      <w:r w:rsidR="00116D1E" w:rsidRPr="005F29CF">
        <w:rPr>
          <w:rFonts w:eastAsia="Calibri" w:cs="Arial"/>
          <w:szCs w:val="24"/>
        </w:rPr>
        <w:t xml:space="preserve">Whilst not typically referred to when determining planning applications, the vision, </w:t>
      </w:r>
      <w:proofErr w:type="gramStart"/>
      <w:r w:rsidR="00116D1E" w:rsidRPr="005F29CF">
        <w:rPr>
          <w:rFonts w:eastAsia="Calibri" w:cs="Arial"/>
          <w:szCs w:val="24"/>
        </w:rPr>
        <w:t>strategy</w:t>
      </w:r>
      <w:proofErr w:type="gramEnd"/>
      <w:r w:rsidR="00116D1E" w:rsidRPr="005F29CF">
        <w:rPr>
          <w:rFonts w:eastAsia="Calibri" w:cs="Arial"/>
          <w:szCs w:val="24"/>
        </w:rPr>
        <w:t xml:space="preserve"> and objectives of the Local Plan set the overall context and narrative from which detailed policies are developed. They should be as Harrow / locally specific as possible, rather than generalised</w:t>
      </w:r>
      <w:r w:rsidR="00D3483F">
        <w:rPr>
          <w:rFonts w:eastAsia="Calibri" w:cs="Arial"/>
          <w:szCs w:val="24"/>
        </w:rPr>
        <w:t xml:space="preserve"> (emphasising the relevance and role of the borough profile </w:t>
      </w:r>
      <w:r w:rsidR="001F27C6">
        <w:rPr>
          <w:rFonts w:eastAsia="Calibri" w:cs="Arial"/>
          <w:szCs w:val="24"/>
        </w:rPr>
        <w:t>in</w:t>
      </w:r>
      <w:r w:rsidR="00D3483F">
        <w:rPr>
          <w:rFonts w:eastAsia="Calibri" w:cs="Arial"/>
          <w:szCs w:val="24"/>
        </w:rPr>
        <w:t xml:space="preserve"> Appendix </w:t>
      </w:r>
      <w:r w:rsidR="00195D72">
        <w:rPr>
          <w:rFonts w:eastAsia="Calibri" w:cs="Arial"/>
          <w:szCs w:val="24"/>
        </w:rPr>
        <w:t>2</w:t>
      </w:r>
      <w:r w:rsidR="001F27C6">
        <w:rPr>
          <w:rFonts w:eastAsia="Calibri" w:cs="Arial"/>
          <w:szCs w:val="24"/>
        </w:rPr>
        <w:t>)</w:t>
      </w:r>
      <w:r w:rsidR="00D3483F">
        <w:rPr>
          <w:rFonts w:eastAsia="Calibri" w:cs="Arial"/>
          <w:szCs w:val="24"/>
        </w:rPr>
        <w:t>.</w:t>
      </w:r>
    </w:p>
    <w:p w14:paraId="29CFEB06" w14:textId="77777777" w:rsidR="00D3483F" w:rsidRDefault="00D3483F" w:rsidP="005F29CF">
      <w:pPr>
        <w:ind w:left="851" w:hanging="851"/>
        <w:rPr>
          <w:rFonts w:eastAsia="Calibri" w:cs="Arial"/>
          <w:szCs w:val="24"/>
        </w:rPr>
      </w:pPr>
    </w:p>
    <w:p w14:paraId="4A822E8A" w14:textId="37E15730" w:rsidR="00116D1E" w:rsidRDefault="00D3483F" w:rsidP="00D3483F">
      <w:pPr>
        <w:keepNext/>
        <w:ind w:left="851" w:hanging="851"/>
        <w:rPr>
          <w:rFonts w:eastAsia="Calibri" w:cs="Arial"/>
          <w:szCs w:val="24"/>
        </w:rPr>
      </w:pPr>
      <w:r>
        <w:rPr>
          <w:rFonts w:eastAsia="Calibri" w:cs="Arial"/>
          <w:szCs w:val="24"/>
        </w:rPr>
        <w:t>5.</w:t>
      </w:r>
      <w:r w:rsidR="00D70C34">
        <w:rPr>
          <w:rFonts w:eastAsia="Calibri" w:cs="Arial"/>
          <w:szCs w:val="24"/>
        </w:rPr>
        <w:t>5</w:t>
      </w:r>
      <w:r>
        <w:rPr>
          <w:rFonts w:eastAsia="Calibri" w:cs="Arial"/>
          <w:szCs w:val="24"/>
        </w:rPr>
        <w:tab/>
      </w:r>
      <w:r w:rsidR="00116D1E" w:rsidRPr="005F29CF">
        <w:rPr>
          <w:rFonts w:eastAsia="Calibri" w:cs="Arial"/>
          <w:szCs w:val="24"/>
        </w:rPr>
        <w:t>Planning Advisory Service (PAS) guidance indicates:</w:t>
      </w:r>
    </w:p>
    <w:p w14:paraId="6149D539" w14:textId="77777777" w:rsidR="00D3483F" w:rsidRPr="005F29CF" w:rsidRDefault="00D3483F" w:rsidP="00D3483F">
      <w:pPr>
        <w:keepNext/>
        <w:ind w:left="851" w:hanging="851"/>
        <w:rPr>
          <w:rFonts w:eastAsia="Calibri" w:cs="Arial"/>
          <w:szCs w:val="24"/>
        </w:rPr>
      </w:pPr>
    </w:p>
    <w:p w14:paraId="7F403906" w14:textId="77777777" w:rsidR="00116D1E" w:rsidRPr="00D3483F" w:rsidRDefault="00116D1E" w:rsidP="00D3483F">
      <w:pPr>
        <w:ind w:left="1418"/>
        <w:rPr>
          <w:rFonts w:cs="Arial"/>
          <w:sz w:val="22"/>
          <w:szCs w:val="22"/>
        </w:rPr>
      </w:pPr>
      <w:r w:rsidRPr="00D3483F">
        <w:rPr>
          <w:rFonts w:cs="Arial"/>
          <w:sz w:val="22"/>
          <w:szCs w:val="22"/>
        </w:rPr>
        <w:t xml:space="preserve">The local plan must contain a vision which should be aspirational but realistic. It should set out the intended character of the plan area, based on current trends and trajectory of key data such as that related to population and economy. Objectives should flow from the vision, establishing the way in which the plan area will deal with the identified critical issues. Together, these should be clear, realistic, locally </w:t>
      </w:r>
      <w:proofErr w:type="gramStart"/>
      <w:r w:rsidRPr="00D3483F">
        <w:rPr>
          <w:rFonts w:cs="Arial"/>
          <w:sz w:val="22"/>
          <w:szCs w:val="22"/>
        </w:rPr>
        <w:t>distinctive</w:t>
      </w:r>
      <w:proofErr w:type="gramEnd"/>
      <w:r w:rsidRPr="00D3483F">
        <w:rPr>
          <w:rFonts w:cs="Arial"/>
          <w:sz w:val="22"/>
          <w:szCs w:val="22"/>
        </w:rPr>
        <w:t xml:space="preserve"> and spatial in planning terms.</w:t>
      </w:r>
    </w:p>
    <w:p w14:paraId="0B13CABF" w14:textId="77777777" w:rsidR="00D3483F" w:rsidRDefault="00D3483F" w:rsidP="00116D1E">
      <w:pPr>
        <w:rPr>
          <w:rFonts w:cs="Arial"/>
          <w:szCs w:val="24"/>
        </w:rPr>
      </w:pPr>
    </w:p>
    <w:p w14:paraId="5DD893AA" w14:textId="12B9517E" w:rsidR="00116D1E" w:rsidRDefault="00D3483F" w:rsidP="00D3483F">
      <w:pPr>
        <w:keepNext/>
        <w:ind w:left="851" w:hanging="851"/>
        <w:rPr>
          <w:rFonts w:cs="Arial"/>
          <w:szCs w:val="24"/>
        </w:rPr>
      </w:pPr>
      <w:r>
        <w:rPr>
          <w:rFonts w:cs="Arial"/>
          <w:szCs w:val="24"/>
        </w:rPr>
        <w:t>5.</w:t>
      </w:r>
      <w:r w:rsidR="00D70C34">
        <w:rPr>
          <w:rFonts w:cs="Arial"/>
          <w:szCs w:val="24"/>
        </w:rPr>
        <w:t>6</w:t>
      </w:r>
      <w:r>
        <w:rPr>
          <w:rFonts w:cs="Arial"/>
          <w:szCs w:val="24"/>
        </w:rPr>
        <w:tab/>
      </w:r>
      <w:r w:rsidR="00116D1E">
        <w:rPr>
          <w:rFonts w:cs="Arial"/>
          <w:szCs w:val="24"/>
        </w:rPr>
        <w:t xml:space="preserve">Guidance further indicates the following key questions to consider when drafting / reviewing </w:t>
      </w:r>
      <w:r w:rsidR="00116D1E" w:rsidRPr="00D3483F">
        <w:rPr>
          <w:rFonts w:eastAsia="Calibri" w:cs="Arial"/>
          <w:szCs w:val="24"/>
        </w:rPr>
        <w:t>the</w:t>
      </w:r>
      <w:r w:rsidR="00116D1E">
        <w:rPr>
          <w:rFonts w:cs="Arial"/>
          <w:szCs w:val="24"/>
        </w:rPr>
        <w:t xml:space="preserve"> vision:</w:t>
      </w:r>
    </w:p>
    <w:p w14:paraId="7DA6FB55" w14:textId="77777777" w:rsidR="00D3483F" w:rsidRDefault="00D3483F" w:rsidP="00D3483F">
      <w:pPr>
        <w:keepNext/>
        <w:ind w:left="851" w:hanging="851"/>
        <w:rPr>
          <w:rFonts w:cs="Arial"/>
          <w:szCs w:val="24"/>
        </w:rPr>
      </w:pPr>
    </w:p>
    <w:p w14:paraId="58A5BD98" w14:textId="77777777" w:rsidR="00116D1E" w:rsidRPr="00886AF9" w:rsidRDefault="00116D1E" w:rsidP="00214763">
      <w:pPr>
        <w:pStyle w:val="ListParagraph"/>
        <w:numPr>
          <w:ilvl w:val="0"/>
          <w:numId w:val="48"/>
        </w:numPr>
        <w:ind w:left="1985" w:hanging="567"/>
        <w:contextualSpacing/>
        <w:rPr>
          <w:sz w:val="24"/>
          <w:szCs w:val="24"/>
        </w:rPr>
      </w:pPr>
      <w:r w:rsidRPr="00886AF9">
        <w:t>Does the vision reflect council and community priorities?</w:t>
      </w:r>
    </w:p>
    <w:p w14:paraId="69674C14" w14:textId="77777777" w:rsidR="00116D1E" w:rsidRPr="00886AF9" w:rsidRDefault="00116D1E" w:rsidP="00214763">
      <w:pPr>
        <w:pStyle w:val="ListParagraph"/>
        <w:numPr>
          <w:ilvl w:val="0"/>
          <w:numId w:val="48"/>
        </w:numPr>
        <w:ind w:left="1985" w:hanging="567"/>
        <w:contextualSpacing/>
        <w:rPr>
          <w:sz w:val="24"/>
          <w:szCs w:val="24"/>
        </w:rPr>
      </w:pPr>
      <w:r w:rsidRPr="00886AF9">
        <w:t xml:space="preserve">Does the vision describe </w:t>
      </w:r>
      <w:r>
        <w:t>Harrow</w:t>
      </w:r>
      <w:r w:rsidRPr="00886AF9">
        <w:t xml:space="preserve"> as opposed to anywhere?</w:t>
      </w:r>
    </w:p>
    <w:p w14:paraId="3ADE8FA1" w14:textId="77777777" w:rsidR="00116D1E" w:rsidRPr="00886AF9" w:rsidRDefault="00116D1E" w:rsidP="00214763">
      <w:pPr>
        <w:pStyle w:val="ListParagraph"/>
        <w:numPr>
          <w:ilvl w:val="0"/>
          <w:numId w:val="48"/>
        </w:numPr>
        <w:ind w:left="1985" w:hanging="567"/>
        <w:contextualSpacing/>
        <w:rPr>
          <w:sz w:val="24"/>
          <w:szCs w:val="24"/>
        </w:rPr>
      </w:pPr>
      <w:r w:rsidRPr="00886AF9">
        <w:t xml:space="preserve">Do </w:t>
      </w:r>
      <w:r>
        <w:t>we</w:t>
      </w:r>
      <w:r w:rsidRPr="00886AF9">
        <w:t xml:space="preserve"> get a clear sense of what </w:t>
      </w:r>
      <w:r>
        <w:t>Harrow</w:t>
      </w:r>
      <w:r w:rsidRPr="00886AF9">
        <w:t xml:space="preserve"> will be like in 20 </w:t>
      </w:r>
      <w:proofErr w:type="spellStart"/>
      <w:r w:rsidRPr="00886AF9">
        <w:t>years time</w:t>
      </w:r>
      <w:proofErr w:type="spellEnd"/>
      <w:r w:rsidRPr="00886AF9">
        <w:t>?</w:t>
      </w:r>
    </w:p>
    <w:p w14:paraId="0738F0B4" w14:textId="77777777" w:rsidR="00116D1E" w:rsidRPr="00886AF9" w:rsidRDefault="00116D1E" w:rsidP="00214763">
      <w:pPr>
        <w:pStyle w:val="ListParagraph"/>
        <w:numPr>
          <w:ilvl w:val="0"/>
          <w:numId w:val="48"/>
        </w:numPr>
        <w:ind w:left="1985" w:hanging="567"/>
        <w:contextualSpacing/>
        <w:rPr>
          <w:sz w:val="24"/>
          <w:szCs w:val="24"/>
        </w:rPr>
      </w:pPr>
      <w:r w:rsidRPr="00886AF9">
        <w:t xml:space="preserve">Can </w:t>
      </w:r>
      <w:r>
        <w:t>we</w:t>
      </w:r>
      <w:r w:rsidRPr="00886AF9">
        <w:t xml:space="preserve"> translate this into planning policy and outcomes that can be delivered?</w:t>
      </w:r>
    </w:p>
    <w:p w14:paraId="2E76DB5F" w14:textId="77777777" w:rsidR="00116D1E" w:rsidRPr="00886AF9" w:rsidRDefault="00116D1E" w:rsidP="00214763">
      <w:pPr>
        <w:pStyle w:val="ListParagraph"/>
        <w:numPr>
          <w:ilvl w:val="0"/>
          <w:numId w:val="48"/>
        </w:numPr>
        <w:ind w:left="1985" w:hanging="567"/>
        <w:contextualSpacing/>
        <w:rPr>
          <w:sz w:val="24"/>
          <w:szCs w:val="24"/>
        </w:rPr>
      </w:pPr>
      <w:r w:rsidRPr="00886AF9">
        <w:t xml:space="preserve">Is it clear where change will happen in economic, </w:t>
      </w:r>
      <w:proofErr w:type="gramStart"/>
      <w:r w:rsidRPr="00886AF9">
        <w:t>physical</w:t>
      </w:r>
      <w:proofErr w:type="gramEnd"/>
      <w:r w:rsidRPr="00886AF9">
        <w:t xml:space="preserve"> and social terms?</w:t>
      </w:r>
    </w:p>
    <w:p w14:paraId="20CA84E9" w14:textId="77777777" w:rsidR="00116D1E" w:rsidRPr="00886AF9" w:rsidRDefault="00116D1E" w:rsidP="00214763">
      <w:pPr>
        <w:pStyle w:val="ListParagraph"/>
        <w:numPr>
          <w:ilvl w:val="0"/>
          <w:numId w:val="48"/>
        </w:numPr>
        <w:ind w:left="1985" w:hanging="567"/>
        <w:contextualSpacing/>
        <w:rPr>
          <w:sz w:val="24"/>
          <w:szCs w:val="24"/>
        </w:rPr>
      </w:pPr>
      <w:r w:rsidRPr="00886AF9">
        <w:t>Is it concise and easy to understand?</w:t>
      </w:r>
    </w:p>
    <w:p w14:paraId="1459975E" w14:textId="77777777" w:rsidR="00116D1E" w:rsidRPr="00886AF9" w:rsidRDefault="00116D1E" w:rsidP="00214763">
      <w:pPr>
        <w:pStyle w:val="ListParagraph"/>
        <w:numPr>
          <w:ilvl w:val="0"/>
          <w:numId w:val="48"/>
        </w:numPr>
        <w:ind w:left="1985" w:hanging="567"/>
        <w:contextualSpacing/>
        <w:rPr>
          <w:sz w:val="24"/>
          <w:szCs w:val="24"/>
        </w:rPr>
      </w:pPr>
      <w:r w:rsidRPr="00886AF9">
        <w:t>How will you measure success of achieving the vision?</w:t>
      </w:r>
    </w:p>
    <w:p w14:paraId="5377208A" w14:textId="77777777" w:rsidR="00214763" w:rsidRDefault="00214763" w:rsidP="00116D1E">
      <w:pPr>
        <w:rPr>
          <w:rFonts w:cs="Arial"/>
          <w:szCs w:val="24"/>
        </w:rPr>
      </w:pPr>
    </w:p>
    <w:p w14:paraId="4C10B7E1" w14:textId="194E7F2D" w:rsidR="00116D1E" w:rsidRDefault="0063322C" w:rsidP="00214763">
      <w:pPr>
        <w:ind w:left="851" w:hanging="851"/>
        <w:rPr>
          <w:rFonts w:cs="Arial"/>
          <w:szCs w:val="24"/>
        </w:rPr>
      </w:pPr>
      <w:r>
        <w:rPr>
          <w:rFonts w:cs="Arial"/>
          <w:szCs w:val="24"/>
        </w:rPr>
        <w:t>5.</w:t>
      </w:r>
      <w:r w:rsidR="00D70C34">
        <w:rPr>
          <w:rFonts w:cs="Arial"/>
          <w:szCs w:val="24"/>
        </w:rPr>
        <w:t>7</w:t>
      </w:r>
      <w:r>
        <w:rPr>
          <w:rFonts w:cs="Arial"/>
          <w:szCs w:val="24"/>
        </w:rPr>
        <w:tab/>
      </w:r>
      <w:r w:rsidR="00116D1E">
        <w:rPr>
          <w:rFonts w:cs="Arial"/>
          <w:szCs w:val="24"/>
        </w:rPr>
        <w:t>In terms of strategic objectives, guidance indicates these</w:t>
      </w:r>
      <w:r w:rsidR="00116D1E" w:rsidRPr="00AF38BE">
        <w:rPr>
          <w:rFonts w:cs="Arial"/>
          <w:szCs w:val="24"/>
        </w:rPr>
        <w:t xml:space="preserve"> should flow from the critical issues </w:t>
      </w:r>
      <w:r w:rsidR="00116D1E">
        <w:rPr>
          <w:rFonts w:cs="Arial"/>
          <w:szCs w:val="24"/>
        </w:rPr>
        <w:t>we</w:t>
      </w:r>
      <w:r w:rsidR="00116D1E" w:rsidRPr="00AF38BE">
        <w:rPr>
          <w:rFonts w:cs="Arial"/>
          <w:szCs w:val="24"/>
        </w:rPr>
        <w:t xml:space="preserve"> have identified and support the delivery of the spatial vision. </w:t>
      </w:r>
      <w:r w:rsidR="00116D1E">
        <w:rPr>
          <w:rFonts w:cs="Arial"/>
          <w:szCs w:val="24"/>
        </w:rPr>
        <w:t xml:space="preserve">For example, what are </w:t>
      </w:r>
      <w:r w:rsidR="00116D1E" w:rsidRPr="00AF38BE">
        <w:rPr>
          <w:rFonts w:cs="Arial"/>
          <w:szCs w:val="24"/>
        </w:rPr>
        <w:t xml:space="preserve">the problems </w:t>
      </w:r>
      <w:r w:rsidR="00116D1E">
        <w:rPr>
          <w:rFonts w:cs="Arial"/>
          <w:szCs w:val="24"/>
        </w:rPr>
        <w:t>we</w:t>
      </w:r>
      <w:r w:rsidR="00116D1E" w:rsidRPr="00AF38BE">
        <w:rPr>
          <w:rFonts w:cs="Arial"/>
          <w:szCs w:val="24"/>
        </w:rPr>
        <w:t xml:space="preserve"> are trying to solve</w:t>
      </w:r>
      <w:r w:rsidR="00116D1E">
        <w:rPr>
          <w:rFonts w:cs="Arial"/>
          <w:szCs w:val="24"/>
        </w:rPr>
        <w:t>?</w:t>
      </w:r>
      <w:r w:rsidR="00116D1E" w:rsidRPr="00AF38BE">
        <w:rPr>
          <w:rFonts w:cs="Arial"/>
          <w:szCs w:val="24"/>
        </w:rPr>
        <w:t xml:space="preserve"> This will stem from quantitative data for example, pollution levels, housing need, and qualitative data for example, other council priorities, things that are important to communities. The objectives for what the plan should deliver should address these critical issues; </w:t>
      </w:r>
      <w:r w:rsidR="00116D1E" w:rsidRPr="00AF38BE">
        <w:rPr>
          <w:rFonts w:cs="Arial"/>
          <w:szCs w:val="24"/>
        </w:rPr>
        <w:lastRenderedPageBreak/>
        <w:t xml:space="preserve">these will be </w:t>
      </w:r>
      <w:r w:rsidR="00116D1E">
        <w:rPr>
          <w:rFonts w:cs="Arial"/>
          <w:szCs w:val="24"/>
        </w:rPr>
        <w:t>our</w:t>
      </w:r>
      <w:r w:rsidR="00116D1E" w:rsidRPr="00AF38BE">
        <w:rPr>
          <w:rFonts w:cs="Arial"/>
          <w:szCs w:val="24"/>
        </w:rPr>
        <w:t xml:space="preserve"> strategic priorities for the area. </w:t>
      </w:r>
      <w:r w:rsidR="00116D1E">
        <w:rPr>
          <w:rFonts w:cs="Arial"/>
          <w:szCs w:val="24"/>
        </w:rPr>
        <w:t>Guidance recommends that we f</w:t>
      </w:r>
      <w:r w:rsidR="00116D1E" w:rsidRPr="00AF38BE">
        <w:rPr>
          <w:rFonts w:cs="Arial"/>
          <w:szCs w:val="24"/>
        </w:rPr>
        <w:t xml:space="preserve">ocus on these priorities; </w:t>
      </w:r>
      <w:r w:rsidR="00116D1E">
        <w:rPr>
          <w:rFonts w:cs="Arial"/>
          <w:szCs w:val="24"/>
        </w:rPr>
        <w:t>we</w:t>
      </w:r>
      <w:r w:rsidR="00116D1E" w:rsidRPr="00AF38BE">
        <w:rPr>
          <w:rFonts w:cs="Arial"/>
          <w:szCs w:val="24"/>
        </w:rPr>
        <w:t xml:space="preserve"> don’t need an objective for everything.</w:t>
      </w:r>
    </w:p>
    <w:p w14:paraId="3FF2F162" w14:textId="77777777" w:rsidR="00214763" w:rsidRDefault="00214763" w:rsidP="00116D1E">
      <w:pPr>
        <w:ind w:left="851" w:hanging="851"/>
        <w:rPr>
          <w:rFonts w:cs="Arial"/>
          <w:szCs w:val="24"/>
        </w:rPr>
      </w:pPr>
    </w:p>
    <w:p w14:paraId="336233DD" w14:textId="0B357E6A" w:rsidR="00F42849" w:rsidRDefault="0063322C" w:rsidP="00116D1E">
      <w:pPr>
        <w:ind w:left="851" w:hanging="851"/>
        <w:rPr>
          <w:rFonts w:eastAsia="Calibri" w:cs="Arial"/>
          <w:szCs w:val="24"/>
        </w:rPr>
      </w:pPr>
      <w:r>
        <w:rPr>
          <w:rFonts w:cs="Arial"/>
          <w:szCs w:val="24"/>
        </w:rPr>
        <w:t>5.</w:t>
      </w:r>
      <w:r w:rsidR="00D70C34">
        <w:rPr>
          <w:rFonts w:cs="Arial"/>
          <w:szCs w:val="24"/>
        </w:rPr>
        <w:t>8</w:t>
      </w:r>
      <w:r>
        <w:rPr>
          <w:rFonts w:cs="Arial"/>
          <w:szCs w:val="24"/>
        </w:rPr>
        <w:tab/>
      </w:r>
      <w:r w:rsidR="00116D1E">
        <w:rPr>
          <w:rFonts w:cs="Arial"/>
          <w:szCs w:val="24"/>
        </w:rPr>
        <w:t xml:space="preserve">The Spatial Strategy essentially seeks to relate the vision and objectives to areas and localities within the borough and quantify the level of development </w:t>
      </w:r>
      <w:r w:rsidR="00116D1E" w:rsidRPr="00214763">
        <w:rPr>
          <w:rFonts w:eastAsia="Calibri" w:cs="Arial"/>
          <w:szCs w:val="24"/>
        </w:rPr>
        <w:t>anticipated</w:t>
      </w:r>
      <w:r w:rsidR="00116D1E">
        <w:rPr>
          <w:rFonts w:cs="Arial"/>
          <w:szCs w:val="24"/>
        </w:rPr>
        <w:t xml:space="preserve"> in each part of the borough</w:t>
      </w:r>
      <w:r>
        <w:rPr>
          <w:rFonts w:cs="Arial"/>
          <w:szCs w:val="24"/>
        </w:rPr>
        <w:t>.</w:t>
      </w:r>
    </w:p>
    <w:p w14:paraId="42687A51" w14:textId="77777777" w:rsidR="00195D72" w:rsidRDefault="00195D72" w:rsidP="00116D1E">
      <w:pPr>
        <w:ind w:left="851" w:hanging="851"/>
        <w:rPr>
          <w:rFonts w:cs="Arial"/>
          <w:szCs w:val="24"/>
        </w:rPr>
      </w:pPr>
    </w:p>
    <w:p w14:paraId="74EF7414" w14:textId="7183B294" w:rsidR="00195D72" w:rsidRDefault="00195D72" w:rsidP="00116D1E">
      <w:pPr>
        <w:ind w:left="851" w:hanging="851"/>
        <w:rPr>
          <w:rFonts w:eastAsia="Calibri" w:cs="Arial"/>
          <w:szCs w:val="24"/>
        </w:rPr>
      </w:pPr>
      <w:r>
        <w:rPr>
          <w:rFonts w:cs="Arial"/>
          <w:szCs w:val="24"/>
        </w:rPr>
        <w:t>5.9</w:t>
      </w:r>
      <w:r>
        <w:rPr>
          <w:rFonts w:cs="Arial"/>
          <w:szCs w:val="24"/>
        </w:rPr>
        <w:tab/>
        <w:t>The Panel is requested to consider and comment on Appendi</w:t>
      </w:r>
      <w:r w:rsidR="00405401">
        <w:rPr>
          <w:rFonts w:cs="Arial"/>
          <w:szCs w:val="24"/>
        </w:rPr>
        <w:t>ces 2 and 3.</w:t>
      </w:r>
    </w:p>
    <w:p w14:paraId="301A7825" w14:textId="77777777" w:rsidR="003F4F68" w:rsidRDefault="003F4F68" w:rsidP="007137DC">
      <w:pPr>
        <w:ind w:left="851" w:hanging="851"/>
        <w:rPr>
          <w:rFonts w:eastAsia="Calibri" w:cs="Arial"/>
          <w:szCs w:val="24"/>
        </w:rPr>
      </w:pPr>
    </w:p>
    <w:p w14:paraId="5D24DAD3" w14:textId="62FF5E41" w:rsidR="0063322C" w:rsidRPr="00754372" w:rsidRDefault="00754372" w:rsidP="00754372">
      <w:pPr>
        <w:pStyle w:val="Heading3"/>
        <w:keepNext/>
        <w:ind w:left="851" w:hanging="851"/>
        <w:jc w:val="left"/>
      </w:pPr>
      <w:r>
        <w:t>6.0</w:t>
      </w:r>
      <w:r>
        <w:tab/>
      </w:r>
      <w:r w:rsidRPr="00754372">
        <w:t>Next steps</w:t>
      </w:r>
    </w:p>
    <w:p w14:paraId="12A1E24F" w14:textId="77777777" w:rsidR="0063322C" w:rsidRDefault="0063322C" w:rsidP="00D63A79">
      <w:pPr>
        <w:keepNext/>
        <w:ind w:left="851" w:hanging="851"/>
        <w:rPr>
          <w:rFonts w:eastAsia="Calibri" w:cs="Arial"/>
          <w:szCs w:val="24"/>
        </w:rPr>
      </w:pPr>
    </w:p>
    <w:p w14:paraId="03836090" w14:textId="643B5697" w:rsidR="003F4F68" w:rsidRDefault="00654A0C" w:rsidP="007137DC">
      <w:pPr>
        <w:ind w:left="851" w:hanging="851"/>
        <w:rPr>
          <w:rFonts w:eastAsia="Calibri" w:cs="Arial"/>
          <w:szCs w:val="24"/>
        </w:rPr>
      </w:pPr>
      <w:r>
        <w:rPr>
          <w:rFonts w:eastAsia="Calibri" w:cs="Arial"/>
          <w:szCs w:val="24"/>
        </w:rPr>
        <w:t>6.1</w:t>
      </w:r>
      <w:r>
        <w:rPr>
          <w:rFonts w:eastAsia="Calibri" w:cs="Arial"/>
          <w:szCs w:val="24"/>
        </w:rPr>
        <w:tab/>
      </w:r>
      <w:r w:rsidR="00754372">
        <w:rPr>
          <w:rFonts w:eastAsia="Calibri" w:cs="Arial"/>
          <w:szCs w:val="24"/>
        </w:rPr>
        <w:t xml:space="preserve">It is intended to present the ‘first draft’ (Regulation 18 version) of the new Harrow Local Plan </w:t>
      </w:r>
      <w:r w:rsidR="00C903C0">
        <w:rPr>
          <w:rFonts w:eastAsia="Calibri" w:cs="Arial"/>
          <w:szCs w:val="24"/>
        </w:rPr>
        <w:t xml:space="preserve">to the Panel at its meeting on 22 </w:t>
      </w:r>
      <w:r w:rsidR="00863A6D">
        <w:rPr>
          <w:rFonts w:eastAsia="Calibri" w:cs="Arial"/>
          <w:szCs w:val="24"/>
        </w:rPr>
        <w:t>January</w:t>
      </w:r>
      <w:r w:rsidR="00C903C0">
        <w:rPr>
          <w:rFonts w:eastAsia="Calibri" w:cs="Arial"/>
          <w:szCs w:val="24"/>
        </w:rPr>
        <w:t xml:space="preserve"> 2024. This will then be presented to Cabinet in February 2024 for </w:t>
      </w:r>
      <w:r w:rsidR="007813C7">
        <w:rPr>
          <w:rFonts w:eastAsia="Calibri" w:cs="Arial"/>
          <w:szCs w:val="24"/>
        </w:rPr>
        <w:t>approval to consult for eight weeks (end of February to mid-April 2024</w:t>
      </w:r>
      <w:r w:rsidR="00863A6D">
        <w:rPr>
          <w:rFonts w:eastAsia="Calibri" w:cs="Arial"/>
          <w:szCs w:val="24"/>
        </w:rPr>
        <w:t>).</w:t>
      </w:r>
      <w:r w:rsidR="0016249E">
        <w:rPr>
          <w:rFonts w:eastAsia="Calibri" w:cs="Arial"/>
          <w:szCs w:val="24"/>
        </w:rPr>
        <w:t xml:space="preserve"> A second round of consultation on a revised Local Plan (Regulation 19 consultation) is anticipated to occur by the end of 2024.</w:t>
      </w:r>
    </w:p>
    <w:p w14:paraId="576BD097" w14:textId="77777777" w:rsidR="00ED248F" w:rsidRDefault="00ED248F" w:rsidP="007137DC">
      <w:pPr>
        <w:ind w:left="851" w:hanging="851"/>
        <w:rPr>
          <w:rFonts w:eastAsia="Calibri" w:cs="Arial"/>
          <w:szCs w:val="24"/>
        </w:rPr>
      </w:pPr>
    </w:p>
    <w:p w14:paraId="2DA48CE2" w14:textId="77777777" w:rsidR="00B83F05" w:rsidRDefault="00654A0C" w:rsidP="007137DC">
      <w:pPr>
        <w:ind w:left="851" w:hanging="851"/>
        <w:rPr>
          <w:rFonts w:eastAsia="Calibri" w:cs="Arial"/>
          <w:szCs w:val="24"/>
        </w:rPr>
      </w:pPr>
      <w:r>
        <w:rPr>
          <w:rFonts w:eastAsia="Calibri" w:cs="Arial"/>
          <w:szCs w:val="24"/>
        </w:rPr>
        <w:t>6.2</w:t>
      </w:r>
      <w:r>
        <w:rPr>
          <w:rFonts w:eastAsia="Calibri" w:cs="Arial"/>
          <w:szCs w:val="24"/>
        </w:rPr>
        <w:tab/>
      </w:r>
      <w:r w:rsidR="00ED248F">
        <w:rPr>
          <w:rFonts w:eastAsia="Calibri" w:cs="Arial"/>
          <w:szCs w:val="24"/>
        </w:rPr>
        <w:t xml:space="preserve">There has been </w:t>
      </w:r>
      <w:r w:rsidR="00F86465">
        <w:rPr>
          <w:rFonts w:eastAsia="Calibri" w:cs="Arial"/>
          <w:szCs w:val="24"/>
        </w:rPr>
        <w:t xml:space="preserve">approximately three months slippage </w:t>
      </w:r>
      <w:r w:rsidR="004349DF">
        <w:rPr>
          <w:rFonts w:eastAsia="Calibri" w:cs="Arial"/>
          <w:szCs w:val="24"/>
        </w:rPr>
        <w:t>in</w:t>
      </w:r>
      <w:r w:rsidR="00F86465">
        <w:rPr>
          <w:rFonts w:eastAsia="Calibri" w:cs="Arial"/>
          <w:szCs w:val="24"/>
        </w:rPr>
        <w:t xml:space="preserve"> the Local Plan programme </w:t>
      </w:r>
      <w:r w:rsidR="004349DF">
        <w:rPr>
          <w:rFonts w:eastAsia="Calibri" w:cs="Arial"/>
          <w:szCs w:val="24"/>
        </w:rPr>
        <w:t>included</w:t>
      </w:r>
      <w:r w:rsidR="00F86465">
        <w:rPr>
          <w:rFonts w:eastAsia="Calibri" w:cs="Arial"/>
          <w:szCs w:val="24"/>
        </w:rPr>
        <w:t xml:space="preserve"> in the Local Development Scheme (LDS) considered by the Panel at its meeting on </w:t>
      </w:r>
      <w:r w:rsidR="00C1430A">
        <w:rPr>
          <w:rFonts w:eastAsia="Calibri" w:cs="Arial"/>
          <w:szCs w:val="24"/>
        </w:rPr>
        <w:t>9 January 2023</w:t>
      </w:r>
      <w:r w:rsidR="00C555BA">
        <w:rPr>
          <w:rFonts w:eastAsia="Calibri" w:cs="Arial"/>
          <w:szCs w:val="24"/>
        </w:rPr>
        <w:t xml:space="preserve"> (and subsequently Cabinet on 16 February 2023)</w:t>
      </w:r>
      <w:r w:rsidR="00F86465">
        <w:rPr>
          <w:rFonts w:eastAsia="Calibri" w:cs="Arial"/>
          <w:szCs w:val="24"/>
        </w:rPr>
        <w:t xml:space="preserve">. This </w:t>
      </w:r>
      <w:r>
        <w:rPr>
          <w:rFonts w:eastAsia="Calibri" w:cs="Arial"/>
          <w:szCs w:val="24"/>
        </w:rPr>
        <w:t xml:space="preserve">is largely due to difficulty in recruiting the additional resources </w:t>
      </w:r>
      <w:r w:rsidR="00504D06">
        <w:rPr>
          <w:rFonts w:eastAsia="Calibri" w:cs="Arial"/>
          <w:szCs w:val="24"/>
        </w:rPr>
        <w:t xml:space="preserve">for the Planning Policy Team that </w:t>
      </w:r>
      <w:r w:rsidR="004349DF">
        <w:rPr>
          <w:rFonts w:eastAsia="Calibri" w:cs="Arial"/>
          <w:szCs w:val="24"/>
        </w:rPr>
        <w:t>were</w:t>
      </w:r>
      <w:r w:rsidR="00504D06">
        <w:rPr>
          <w:rFonts w:eastAsia="Calibri" w:cs="Arial"/>
          <w:szCs w:val="24"/>
        </w:rPr>
        <w:t xml:space="preserve"> </w:t>
      </w:r>
      <w:r w:rsidR="00C555BA">
        <w:rPr>
          <w:rFonts w:eastAsia="Calibri" w:cs="Arial"/>
          <w:szCs w:val="24"/>
        </w:rPr>
        <w:t>included</w:t>
      </w:r>
      <w:r w:rsidR="00504D06">
        <w:rPr>
          <w:rFonts w:eastAsia="Calibri" w:cs="Arial"/>
          <w:szCs w:val="24"/>
        </w:rPr>
        <w:t xml:space="preserve"> in the </w:t>
      </w:r>
      <w:r w:rsidR="0052079F">
        <w:rPr>
          <w:rFonts w:eastAsia="Calibri" w:cs="Arial"/>
          <w:szCs w:val="24"/>
        </w:rPr>
        <w:t>budget agreed by Full Council in February 2023. Such difficulty in recruitment is being experienced across London and the country generally.</w:t>
      </w:r>
      <w:r w:rsidR="00B83F05">
        <w:rPr>
          <w:rFonts w:eastAsia="Calibri" w:cs="Arial"/>
          <w:szCs w:val="24"/>
        </w:rPr>
        <w:t xml:space="preserve"> </w:t>
      </w:r>
    </w:p>
    <w:p w14:paraId="2B410B82" w14:textId="77777777" w:rsidR="00B83F05" w:rsidRDefault="00B83F05" w:rsidP="007137DC">
      <w:pPr>
        <w:ind w:left="851" w:hanging="851"/>
        <w:rPr>
          <w:rFonts w:eastAsia="Calibri" w:cs="Arial"/>
          <w:szCs w:val="24"/>
        </w:rPr>
      </w:pPr>
    </w:p>
    <w:p w14:paraId="26C7A710" w14:textId="5A51A074" w:rsidR="00ED248F" w:rsidRPr="00B454D6" w:rsidRDefault="00B83F05" w:rsidP="007137DC">
      <w:pPr>
        <w:ind w:left="851" w:hanging="851"/>
        <w:rPr>
          <w:rFonts w:eastAsia="Calibri" w:cs="Arial"/>
          <w:szCs w:val="24"/>
        </w:rPr>
      </w:pPr>
      <w:r>
        <w:rPr>
          <w:rFonts w:eastAsia="Calibri" w:cs="Arial"/>
          <w:szCs w:val="24"/>
        </w:rPr>
        <w:t>6.3</w:t>
      </w:r>
      <w:r>
        <w:rPr>
          <w:rFonts w:eastAsia="Calibri" w:cs="Arial"/>
          <w:szCs w:val="24"/>
        </w:rPr>
        <w:tab/>
        <w:t xml:space="preserve">The LDS will be updated in due course if necessary to reflect </w:t>
      </w:r>
      <w:r w:rsidR="00772CE8">
        <w:rPr>
          <w:rFonts w:eastAsia="Calibri" w:cs="Arial"/>
          <w:szCs w:val="24"/>
        </w:rPr>
        <w:t xml:space="preserve">actual </w:t>
      </w:r>
      <w:r>
        <w:rPr>
          <w:rFonts w:eastAsia="Calibri" w:cs="Arial"/>
          <w:szCs w:val="24"/>
        </w:rPr>
        <w:t>timeframes closer towards submission of the draft Local Plan to Government for examination.</w:t>
      </w:r>
    </w:p>
    <w:p w14:paraId="7097DA98" w14:textId="77777777" w:rsidR="008471B2" w:rsidRPr="00B454D6" w:rsidRDefault="008471B2" w:rsidP="007137DC">
      <w:pPr>
        <w:ind w:left="851" w:hanging="851"/>
        <w:rPr>
          <w:rFonts w:eastAsia="Calibri" w:cs="Arial"/>
          <w:szCs w:val="24"/>
        </w:rPr>
      </w:pPr>
    </w:p>
    <w:p w14:paraId="1046E7BE" w14:textId="70276B74" w:rsidR="00410C2B" w:rsidRPr="00B454D6" w:rsidRDefault="00410C2B" w:rsidP="00410C2B">
      <w:pPr>
        <w:spacing w:before="240"/>
        <w:rPr>
          <w:bCs/>
          <w:szCs w:val="24"/>
        </w:rPr>
      </w:pPr>
      <w:r w:rsidRPr="00B454D6">
        <w:rPr>
          <w:b/>
          <w:szCs w:val="24"/>
        </w:rPr>
        <w:t>Ward Councillors’ comments</w:t>
      </w:r>
      <w:r w:rsidR="00D9015B" w:rsidRPr="00B454D6">
        <w:rPr>
          <w:b/>
          <w:szCs w:val="24"/>
        </w:rPr>
        <w:t>:</w:t>
      </w:r>
      <w:r w:rsidR="00D9015B" w:rsidRPr="00B454D6">
        <w:rPr>
          <w:bCs/>
          <w:szCs w:val="24"/>
        </w:rPr>
        <w:t xml:space="preserve"> None- for information only.</w:t>
      </w:r>
    </w:p>
    <w:p w14:paraId="0B3514A8" w14:textId="77777777" w:rsidR="00410C2B" w:rsidRPr="00B454D6" w:rsidRDefault="00410C2B" w:rsidP="00410C2B">
      <w:pPr>
        <w:rPr>
          <w:b/>
        </w:rPr>
      </w:pPr>
    </w:p>
    <w:p w14:paraId="76449499" w14:textId="77777777" w:rsidR="00167ACC" w:rsidRPr="00B454D6" w:rsidRDefault="00167ACC" w:rsidP="00167ACC">
      <w:pPr>
        <w:pStyle w:val="Heading3"/>
      </w:pPr>
      <w:r w:rsidRPr="00B454D6">
        <w:t>Risk Management Implications</w:t>
      </w:r>
    </w:p>
    <w:p w14:paraId="1B87076E" w14:textId="77777777" w:rsidR="00167ACC" w:rsidRPr="00B454D6" w:rsidRDefault="00167ACC" w:rsidP="00167ACC">
      <w:pPr>
        <w:tabs>
          <w:tab w:val="left" w:pos="5610"/>
        </w:tabs>
        <w:ind w:left="567" w:right="81" w:hanging="567"/>
        <w:rPr>
          <w:rFonts w:cs="Arial"/>
          <w:szCs w:val="24"/>
        </w:rPr>
      </w:pPr>
    </w:p>
    <w:p w14:paraId="2634C17B" w14:textId="3D668205" w:rsidR="00167ACC" w:rsidRPr="00B454D6" w:rsidRDefault="00167ACC" w:rsidP="00167ACC">
      <w:pPr>
        <w:tabs>
          <w:tab w:val="left" w:pos="5610"/>
        </w:tabs>
        <w:ind w:right="81"/>
      </w:pPr>
      <w:r w:rsidRPr="00B454D6">
        <w:rPr>
          <w:rFonts w:cs="Arial"/>
          <w:szCs w:val="24"/>
        </w:rPr>
        <w:t xml:space="preserve">Risks included on corporate or directorate risk </w:t>
      </w:r>
      <w:proofErr w:type="gramStart"/>
      <w:r w:rsidRPr="00B454D6">
        <w:rPr>
          <w:rFonts w:cs="Arial"/>
          <w:szCs w:val="24"/>
        </w:rPr>
        <w:t>register?</w:t>
      </w:r>
      <w:proofErr w:type="gramEnd"/>
      <w:r w:rsidRPr="00B454D6">
        <w:rPr>
          <w:rFonts w:cs="Arial"/>
          <w:szCs w:val="24"/>
        </w:rPr>
        <w:t xml:space="preserve"> </w:t>
      </w:r>
      <w:r w:rsidRPr="00B454D6">
        <w:rPr>
          <w:rFonts w:cs="Arial"/>
          <w:b/>
          <w:bCs/>
          <w:szCs w:val="24"/>
        </w:rPr>
        <w:t>No</w:t>
      </w:r>
      <w:r w:rsidRPr="00B454D6">
        <w:rPr>
          <w:rFonts w:cs="Arial"/>
          <w:szCs w:val="24"/>
        </w:rPr>
        <w:t xml:space="preserve"> </w:t>
      </w:r>
    </w:p>
    <w:p w14:paraId="50EF6034" w14:textId="77777777" w:rsidR="00167ACC" w:rsidRPr="00B454D6" w:rsidRDefault="00167ACC" w:rsidP="00167ACC">
      <w:pPr>
        <w:ind w:left="-142" w:right="141"/>
        <w:rPr>
          <w:rFonts w:cs="Arial"/>
          <w:szCs w:val="24"/>
          <w:lang w:eastAsia="en-GB"/>
        </w:rPr>
      </w:pPr>
      <w:r w:rsidRPr="00B454D6">
        <w:rPr>
          <w:rFonts w:cs="Arial"/>
          <w:szCs w:val="24"/>
          <w:lang w:eastAsia="en-GB"/>
        </w:rPr>
        <w:t xml:space="preserve">  </w:t>
      </w:r>
    </w:p>
    <w:p w14:paraId="0A4A808A" w14:textId="1E94B2AE" w:rsidR="00167ACC" w:rsidRPr="00B454D6" w:rsidRDefault="00167ACC" w:rsidP="00167ACC">
      <w:pPr>
        <w:ind w:left="-142" w:right="141" w:firstLine="142"/>
        <w:rPr>
          <w:rFonts w:cs="Arial"/>
          <w:szCs w:val="24"/>
          <w:lang w:eastAsia="en-GB"/>
        </w:rPr>
      </w:pPr>
      <w:r w:rsidRPr="00B454D6">
        <w:rPr>
          <w:rFonts w:cs="Arial"/>
          <w:szCs w:val="24"/>
          <w:lang w:eastAsia="en-GB"/>
        </w:rPr>
        <w:t xml:space="preserve">Separate risk </w:t>
      </w:r>
      <w:proofErr w:type="gramStart"/>
      <w:r w:rsidRPr="00B454D6">
        <w:rPr>
          <w:rFonts w:cs="Arial"/>
          <w:szCs w:val="24"/>
          <w:lang w:eastAsia="en-GB"/>
        </w:rPr>
        <w:t>register</w:t>
      </w:r>
      <w:proofErr w:type="gramEnd"/>
      <w:r w:rsidRPr="00B454D6">
        <w:rPr>
          <w:rFonts w:cs="Arial"/>
          <w:szCs w:val="24"/>
          <w:lang w:eastAsia="en-GB"/>
        </w:rPr>
        <w:t xml:space="preserve"> in place? </w:t>
      </w:r>
      <w:r w:rsidR="00B37390">
        <w:rPr>
          <w:rFonts w:cs="Arial"/>
          <w:b/>
          <w:bCs/>
          <w:szCs w:val="24"/>
          <w:lang w:eastAsia="en-GB"/>
        </w:rPr>
        <w:t>Yes</w:t>
      </w:r>
      <w:r w:rsidRPr="00B454D6">
        <w:rPr>
          <w:rFonts w:cs="Arial"/>
          <w:szCs w:val="24"/>
          <w:lang w:eastAsia="en-GB"/>
        </w:rPr>
        <w:t xml:space="preserve"> </w:t>
      </w:r>
    </w:p>
    <w:p w14:paraId="6731D2D8" w14:textId="77777777" w:rsidR="00167ACC" w:rsidRPr="00B454D6" w:rsidRDefault="00167ACC" w:rsidP="00167ACC">
      <w:pPr>
        <w:tabs>
          <w:tab w:val="left" w:pos="5610"/>
        </w:tabs>
        <w:ind w:left="567" w:right="81" w:hanging="567"/>
      </w:pPr>
    </w:p>
    <w:p w14:paraId="7D72A8D1" w14:textId="79F3A855" w:rsidR="00167ACC" w:rsidRPr="00B454D6" w:rsidRDefault="00167ACC" w:rsidP="00167ACC">
      <w:pPr>
        <w:tabs>
          <w:tab w:val="left" w:pos="5610"/>
        </w:tabs>
        <w:ind w:right="81"/>
      </w:pPr>
      <w:r w:rsidRPr="00B454D6">
        <w:t xml:space="preserve">The relevant risks contained in the register are attached/summarised below. </w:t>
      </w:r>
      <w:r w:rsidRPr="00B454D6">
        <w:rPr>
          <w:rFonts w:cs="Arial"/>
          <w:b/>
          <w:bCs/>
          <w:szCs w:val="24"/>
          <w:lang w:eastAsia="en-GB"/>
        </w:rPr>
        <w:t>Yes</w:t>
      </w:r>
    </w:p>
    <w:p w14:paraId="32C35FE6" w14:textId="77777777" w:rsidR="00167ACC" w:rsidRDefault="00167ACC" w:rsidP="00167ACC"/>
    <w:p w14:paraId="7D919F57" w14:textId="77777777" w:rsidR="00042874" w:rsidRPr="00424E06" w:rsidRDefault="00042874" w:rsidP="00042874">
      <w:pPr>
        <w:ind w:right="141"/>
        <w:rPr>
          <w:rFonts w:cs="Arial"/>
          <w:color w:val="4F81BD" w:themeColor="accent1"/>
          <w:szCs w:val="24"/>
          <w:lang w:eastAsia="en-GB"/>
        </w:rPr>
      </w:pPr>
      <w:r>
        <w:rPr>
          <w:rFonts w:cs="Arial"/>
          <w:szCs w:val="24"/>
          <w:lang w:eastAsia="en-GB"/>
        </w:rPr>
        <w:t>This report is for information and discussion only so no immediate risks arising from the report.</w:t>
      </w:r>
    </w:p>
    <w:p w14:paraId="5C04483A" w14:textId="77777777" w:rsidR="00310634" w:rsidRPr="00424E06" w:rsidRDefault="00310634" w:rsidP="00310634">
      <w:pPr>
        <w:pStyle w:val="Heading3"/>
        <w:keepNext/>
        <w:spacing w:before="480" w:after="240"/>
        <w:rPr>
          <w:color w:val="000000" w:themeColor="text1"/>
        </w:rPr>
      </w:pPr>
      <w:r w:rsidRPr="00424E06">
        <w:rPr>
          <w:color w:val="000000" w:themeColor="text1"/>
        </w:rPr>
        <w:lastRenderedPageBreak/>
        <w:t>Procurement Implications</w:t>
      </w:r>
    </w:p>
    <w:p w14:paraId="2B53C202" w14:textId="77777777" w:rsidR="00310634" w:rsidRPr="00424E06" w:rsidRDefault="00310634" w:rsidP="00310634">
      <w:pPr>
        <w:spacing w:before="240"/>
        <w:rPr>
          <w:color w:val="000000" w:themeColor="text1"/>
        </w:rPr>
      </w:pPr>
      <w:r>
        <w:rPr>
          <w:color w:val="000000" w:themeColor="text1"/>
        </w:rPr>
        <w:t>None – report for information and discussion only.</w:t>
      </w:r>
    </w:p>
    <w:p w14:paraId="47469C4B" w14:textId="77777777" w:rsidR="00310634" w:rsidRPr="00424E06" w:rsidRDefault="00310634" w:rsidP="00310634">
      <w:pPr>
        <w:pStyle w:val="Heading3"/>
        <w:keepNext/>
        <w:spacing w:before="480" w:after="240"/>
        <w:rPr>
          <w:color w:val="000000" w:themeColor="text1"/>
        </w:rPr>
      </w:pPr>
      <w:r w:rsidRPr="00424E06">
        <w:rPr>
          <w:color w:val="000000" w:themeColor="text1"/>
        </w:rPr>
        <w:t>Legal Implications</w:t>
      </w:r>
    </w:p>
    <w:p w14:paraId="7AE6D3B7" w14:textId="77777777" w:rsidR="00310634" w:rsidRPr="00424E06" w:rsidRDefault="00310634" w:rsidP="00310634">
      <w:pPr>
        <w:spacing w:before="240"/>
        <w:rPr>
          <w:color w:val="000000" w:themeColor="text1"/>
        </w:rPr>
      </w:pPr>
      <w:r>
        <w:rPr>
          <w:color w:val="000000" w:themeColor="text1"/>
        </w:rPr>
        <w:t>None – report for information and discussion only.</w:t>
      </w:r>
    </w:p>
    <w:p w14:paraId="045517F5" w14:textId="77777777" w:rsidR="00310634" w:rsidRPr="00424E06" w:rsidRDefault="00310634" w:rsidP="00310634">
      <w:pPr>
        <w:pStyle w:val="Heading3"/>
        <w:keepNext/>
        <w:spacing w:before="480" w:after="240"/>
        <w:rPr>
          <w:color w:val="000000" w:themeColor="text1"/>
        </w:rPr>
      </w:pPr>
      <w:r w:rsidRPr="00424E06">
        <w:rPr>
          <w:color w:val="000000" w:themeColor="text1"/>
        </w:rPr>
        <w:t>Financial Implications</w:t>
      </w:r>
    </w:p>
    <w:p w14:paraId="4F84CAE0" w14:textId="77777777" w:rsidR="00310634" w:rsidRPr="00424E06" w:rsidRDefault="00310634" w:rsidP="00310634">
      <w:pPr>
        <w:spacing w:before="240"/>
        <w:rPr>
          <w:color w:val="000000" w:themeColor="text1"/>
        </w:rPr>
      </w:pPr>
      <w:r>
        <w:rPr>
          <w:color w:val="000000" w:themeColor="text1"/>
        </w:rPr>
        <w:t>None – report for information and discussion only.</w:t>
      </w:r>
    </w:p>
    <w:p w14:paraId="3467C80C" w14:textId="77777777" w:rsidR="00310634" w:rsidRPr="00424E06" w:rsidRDefault="00310634" w:rsidP="00310634">
      <w:pPr>
        <w:pStyle w:val="Heading3"/>
        <w:keepNext/>
        <w:spacing w:before="480" w:after="240"/>
        <w:rPr>
          <w:color w:val="000000" w:themeColor="text1"/>
        </w:rPr>
      </w:pPr>
      <w:r w:rsidRPr="00424E06">
        <w:rPr>
          <w:color w:val="000000" w:themeColor="text1"/>
        </w:rPr>
        <w:t>Equalities implications / Public Sector Equality Duty</w:t>
      </w:r>
    </w:p>
    <w:p w14:paraId="0C723194" w14:textId="77777777" w:rsidR="00310634" w:rsidRPr="00424E06" w:rsidRDefault="00310634" w:rsidP="00310634">
      <w:pPr>
        <w:spacing w:before="240"/>
        <w:rPr>
          <w:color w:val="000000" w:themeColor="text1"/>
        </w:rPr>
      </w:pPr>
      <w:r>
        <w:rPr>
          <w:color w:val="000000" w:themeColor="text1"/>
        </w:rPr>
        <w:t>None – report for information and discussion only.</w:t>
      </w:r>
    </w:p>
    <w:p w14:paraId="13E4BD9B" w14:textId="77777777" w:rsidR="00310634" w:rsidRPr="00424E06" w:rsidRDefault="00310634" w:rsidP="00310634">
      <w:pPr>
        <w:pStyle w:val="Heading3"/>
        <w:keepNext/>
        <w:spacing w:before="480" w:after="240"/>
        <w:ind w:left="0" w:firstLine="0"/>
        <w:rPr>
          <w:rFonts w:eastAsia="Arial"/>
          <w:b w:val="0"/>
          <w:bCs w:val="0"/>
          <w:color w:val="000000" w:themeColor="text1"/>
          <w:sz w:val="24"/>
          <w:szCs w:val="24"/>
        </w:rPr>
      </w:pPr>
      <w:r w:rsidRPr="00424E06">
        <w:rPr>
          <w:color w:val="000000" w:themeColor="text1"/>
        </w:rPr>
        <w:t>Council Priorities</w:t>
      </w:r>
    </w:p>
    <w:p w14:paraId="494A97AF" w14:textId="77777777" w:rsidR="00310634" w:rsidRDefault="00310634" w:rsidP="00310634">
      <w:pPr>
        <w:keepNext/>
        <w:rPr>
          <w:rFonts w:cs="Arial"/>
          <w:szCs w:val="24"/>
        </w:rPr>
      </w:pPr>
      <w:r w:rsidRPr="00424E06">
        <w:rPr>
          <w:rFonts w:cs="Arial"/>
          <w:szCs w:val="24"/>
        </w:rPr>
        <w:t xml:space="preserve">Please identify how the decision sought delivers this priority. </w:t>
      </w:r>
    </w:p>
    <w:p w14:paraId="6F5A0907" w14:textId="77777777" w:rsidR="00002F68" w:rsidRPr="00424E06" w:rsidRDefault="00002F68" w:rsidP="00310634">
      <w:pPr>
        <w:keepNext/>
        <w:rPr>
          <w:rFonts w:cs="Arial"/>
          <w:szCs w:val="24"/>
        </w:rPr>
      </w:pPr>
    </w:p>
    <w:p w14:paraId="4DA9ED24" w14:textId="77777777" w:rsidR="00310634" w:rsidRDefault="00310634" w:rsidP="00002F68">
      <w:pPr>
        <w:pStyle w:val="ListParagraph"/>
        <w:numPr>
          <w:ilvl w:val="0"/>
          <w:numId w:val="33"/>
        </w:numPr>
        <w:autoSpaceDE w:val="0"/>
        <w:autoSpaceDN w:val="0"/>
        <w:rPr>
          <w:b/>
        </w:rPr>
      </w:pPr>
      <w:r w:rsidRPr="00424E06">
        <w:rPr>
          <w:b/>
        </w:rPr>
        <w:t>Putting residents first.</w:t>
      </w:r>
    </w:p>
    <w:p w14:paraId="0AFB4C62" w14:textId="77777777" w:rsidR="00310634" w:rsidRDefault="00310634" w:rsidP="00002F68">
      <w:pPr>
        <w:pStyle w:val="ListParagraph"/>
        <w:numPr>
          <w:ilvl w:val="0"/>
          <w:numId w:val="33"/>
        </w:numPr>
        <w:autoSpaceDE w:val="0"/>
        <w:autoSpaceDN w:val="0"/>
        <w:rPr>
          <w:b/>
        </w:rPr>
      </w:pPr>
      <w:r>
        <w:rPr>
          <w:b/>
        </w:rPr>
        <w:t>A Borough that is Clean and Safe</w:t>
      </w:r>
    </w:p>
    <w:p w14:paraId="65ADF7F5" w14:textId="77777777" w:rsidR="00310634" w:rsidRDefault="00310634" w:rsidP="00002F68">
      <w:pPr>
        <w:pStyle w:val="ListParagraph"/>
        <w:numPr>
          <w:ilvl w:val="0"/>
          <w:numId w:val="33"/>
        </w:numPr>
        <w:autoSpaceDE w:val="0"/>
        <w:autoSpaceDN w:val="0"/>
        <w:rPr>
          <w:b/>
        </w:rPr>
      </w:pPr>
      <w:r>
        <w:rPr>
          <w:b/>
        </w:rPr>
        <w:t>A Place where those in need are supported.</w:t>
      </w:r>
    </w:p>
    <w:p w14:paraId="5E0E6039" w14:textId="77777777" w:rsidR="00310634" w:rsidRPr="00D103DF" w:rsidRDefault="00310634" w:rsidP="00310634">
      <w:pPr>
        <w:autoSpaceDE w:val="0"/>
        <w:autoSpaceDN w:val="0"/>
        <w:spacing w:before="240"/>
        <w:rPr>
          <w:bCs/>
        </w:rPr>
      </w:pPr>
      <w:r w:rsidRPr="00D103DF">
        <w:rPr>
          <w:bCs/>
        </w:rPr>
        <w:t xml:space="preserve">The </w:t>
      </w:r>
      <w:r>
        <w:rPr>
          <w:bCs/>
        </w:rPr>
        <w:t xml:space="preserve">wide-ranging nature of the spatial plan means that the </w:t>
      </w:r>
      <w:r w:rsidRPr="00D103DF">
        <w:rPr>
          <w:bCs/>
        </w:rPr>
        <w:t>new</w:t>
      </w:r>
      <w:r>
        <w:rPr>
          <w:bCs/>
        </w:rPr>
        <w:t xml:space="preserve"> Local Plan will contribute to all the delivery of these priories as well as the objective to Restore Pride in Harrow.</w:t>
      </w:r>
    </w:p>
    <w:p w14:paraId="6F1FDA3D" w14:textId="77777777" w:rsidR="005441BD" w:rsidRPr="00B454D6" w:rsidRDefault="005441BD" w:rsidP="00A67744">
      <w:pPr>
        <w:pStyle w:val="Heading2"/>
        <w:keepNext/>
        <w:spacing w:before="480"/>
      </w:pPr>
      <w:r w:rsidRPr="00B454D6">
        <w:t>Section 3 - Statutory Officer Clearance</w:t>
      </w:r>
    </w:p>
    <w:p w14:paraId="1830700F" w14:textId="77777777" w:rsidR="00310634" w:rsidRDefault="00310634" w:rsidP="008857F7">
      <w:pPr>
        <w:keepNext/>
        <w:rPr>
          <w:b/>
          <w:sz w:val="28"/>
          <w:szCs w:val="28"/>
        </w:rPr>
      </w:pPr>
    </w:p>
    <w:p w14:paraId="75CF8A23" w14:textId="2445789A" w:rsidR="008857F7" w:rsidRPr="00B454D6" w:rsidRDefault="008857F7" w:rsidP="008857F7">
      <w:pPr>
        <w:keepNext/>
        <w:rPr>
          <w:b/>
          <w:sz w:val="28"/>
          <w:szCs w:val="28"/>
        </w:rPr>
      </w:pPr>
      <w:r w:rsidRPr="00B454D6">
        <w:rPr>
          <w:b/>
          <w:sz w:val="28"/>
          <w:szCs w:val="28"/>
        </w:rPr>
        <w:t>Chief Officer: Viv Evans</w:t>
      </w:r>
    </w:p>
    <w:p w14:paraId="563895DB" w14:textId="77777777" w:rsidR="00A779F1" w:rsidRDefault="008857F7" w:rsidP="008857F7">
      <w:pPr>
        <w:keepNext/>
        <w:rPr>
          <w:bCs/>
          <w:szCs w:val="24"/>
        </w:rPr>
      </w:pPr>
      <w:r w:rsidRPr="00B454D6">
        <w:rPr>
          <w:bCs/>
          <w:szCs w:val="24"/>
        </w:rPr>
        <w:t>Signed by Chief Planning Officer</w:t>
      </w:r>
    </w:p>
    <w:p w14:paraId="6560B847" w14:textId="77777777" w:rsidR="00A779F1" w:rsidRDefault="00A779F1" w:rsidP="008857F7">
      <w:pPr>
        <w:keepNext/>
        <w:rPr>
          <w:bCs/>
          <w:szCs w:val="24"/>
        </w:rPr>
      </w:pPr>
    </w:p>
    <w:p w14:paraId="35F35228" w14:textId="7C2CE7ED" w:rsidR="008857F7" w:rsidRPr="00B454D6" w:rsidRDefault="008857F7" w:rsidP="008857F7">
      <w:pPr>
        <w:keepNext/>
        <w:rPr>
          <w:bCs/>
          <w:szCs w:val="24"/>
        </w:rPr>
      </w:pPr>
      <w:r w:rsidRPr="00B454D6">
        <w:rPr>
          <w:bCs/>
          <w:szCs w:val="24"/>
        </w:rPr>
        <w:t xml:space="preserve"> </w:t>
      </w:r>
      <w:r w:rsidR="00A779F1" w:rsidRPr="00A779F1">
        <w:rPr>
          <w:rFonts w:ascii="Calibri" w:eastAsia="Calibri" w:hAnsi="Calibri"/>
          <w:noProof/>
          <w:sz w:val="22"/>
          <w:szCs w:val="22"/>
        </w:rPr>
        <w:drawing>
          <wp:inline distT="0" distB="0" distL="0" distR="0" wp14:anchorId="61CA5AFE" wp14:editId="2B11B1B2">
            <wp:extent cx="1786255" cy="67691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676910"/>
                    </a:xfrm>
                    <a:prstGeom prst="rect">
                      <a:avLst/>
                    </a:prstGeom>
                    <a:noFill/>
                  </pic:spPr>
                </pic:pic>
              </a:graphicData>
            </a:graphic>
          </wp:inline>
        </w:drawing>
      </w:r>
    </w:p>
    <w:p w14:paraId="52A3A2AB" w14:textId="663A3B02" w:rsidR="008857F7" w:rsidRPr="00B454D6" w:rsidRDefault="008857F7" w:rsidP="008857F7">
      <w:pPr>
        <w:keepNext/>
        <w:rPr>
          <w:b/>
          <w:szCs w:val="24"/>
        </w:rPr>
      </w:pPr>
    </w:p>
    <w:p w14:paraId="6AA467AA" w14:textId="670FBD7E" w:rsidR="008857F7" w:rsidRPr="00B454D6" w:rsidRDefault="008857F7" w:rsidP="008857F7">
      <w:pPr>
        <w:spacing w:after="480"/>
        <w:rPr>
          <w:b/>
          <w:szCs w:val="24"/>
        </w:rPr>
      </w:pPr>
      <w:r w:rsidRPr="00B454D6">
        <w:rPr>
          <w:b/>
          <w:szCs w:val="24"/>
        </w:rPr>
        <w:t xml:space="preserve">Date: </w:t>
      </w:r>
      <w:r w:rsidR="00FA19EA">
        <w:rPr>
          <w:b/>
          <w:szCs w:val="24"/>
        </w:rPr>
        <w:t>24</w:t>
      </w:r>
      <w:r w:rsidR="00945B98">
        <w:rPr>
          <w:b/>
          <w:szCs w:val="24"/>
        </w:rPr>
        <w:t xml:space="preserve"> October</w:t>
      </w:r>
      <w:r w:rsidRPr="00B454D6">
        <w:rPr>
          <w:b/>
          <w:szCs w:val="24"/>
        </w:rPr>
        <w:t xml:space="preserve"> 2023</w:t>
      </w:r>
    </w:p>
    <w:p w14:paraId="4029D407" w14:textId="77777777" w:rsidR="008857F7" w:rsidRPr="00B454D6" w:rsidRDefault="008857F7" w:rsidP="008857F7">
      <w:pPr>
        <w:keepNext/>
        <w:rPr>
          <w:b/>
          <w:sz w:val="28"/>
          <w:szCs w:val="28"/>
        </w:rPr>
      </w:pPr>
      <w:r w:rsidRPr="00B454D6">
        <w:rPr>
          <w:b/>
          <w:sz w:val="28"/>
          <w:szCs w:val="28"/>
        </w:rPr>
        <w:t>Divisional Director: Emma Talbot</w:t>
      </w:r>
    </w:p>
    <w:p w14:paraId="1FB7E045" w14:textId="77777777" w:rsidR="008857F7" w:rsidRPr="00B454D6" w:rsidRDefault="008857F7" w:rsidP="008857F7">
      <w:pPr>
        <w:keepNext/>
        <w:rPr>
          <w:bCs/>
          <w:szCs w:val="24"/>
        </w:rPr>
      </w:pPr>
      <w:r w:rsidRPr="00B454D6">
        <w:t xml:space="preserve">Signed by Director for Regeneration and Sustainable Development </w:t>
      </w:r>
    </w:p>
    <w:p w14:paraId="4D2E2D20" w14:textId="30CE32D9" w:rsidR="752A3A13" w:rsidRPr="00B454D6" w:rsidRDefault="752A3A13" w:rsidP="752A3A13">
      <w:pPr>
        <w:keepNext/>
        <w:rPr>
          <w:b/>
          <w:bCs/>
        </w:rPr>
      </w:pPr>
    </w:p>
    <w:p w14:paraId="27421695" w14:textId="06B7284F" w:rsidR="008857F7" w:rsidRPr="00B454D6" w:rsidRDefault="008857F7" w:rsidP="008857F7">
      <w:pPr>
        <w:spacing w:after="480"/>
        <w:rPr>
          <w:b/>
          <w:szCs w:val="24"/>
        </w:rPr>
      </w:pPr>
      <w:r w:rsidRPr="00B454D6">
        <w:rPr>
          <w:b/>
          <w:szCs w:val="24"/>
        </w:rPr>
        <w:t xml:space="preserve">Date:  </w:t>
      </w:r>
      <w:r w:rsidR="00FA19EA">
        <w:rPr>
          <w:b/>
          <w:szCs w:val="24"/>
        </w:rPr>
        <w:t>24</w:t>
      </w:r>
      <w:r w:rsidR="00945B98">
        <w:rPr>
          <w:b/>
          <w:szCs w:val="24"/>
        </w:rPr>
        <w:t xml:space="preserve"> October 2023</w:t>
      </w:r>
    </w:p>
    <w:p w14:paraId="66F40407" w14:textId="07FA49DD" w:rsidR="00D27D5B" w:rsidRPr="00B454D6" w:rsidRDefault="00D27D5B" w:rsidP="008E5227">
      <w:pPr>
        <w:pStyle w:val="Heading2"/>
        <w:keepNext/>
        <w:spacing w:after="240"/>
      </w:pPr>
      <w:r w:rsidRPr="00B454D6">
        <w:lastRenderedPageBreak/>
        <w:t>Mandatory Checks</w:t>
      </w:r>
    </w:p>
    <w:p w14:paraId="3A4B7F53" w14:textId="0D338E4A" w:rsidR="00D27D5B" w:rsidRPr="00B454D6" w:rsidRDefault="00D27D5B" w:rsidP="00D27D5B">
      <w:pPr>
        <w:pStyle w:val="Heading3"/>
        <w:ind w:left="0" w:firstLine="0"/>
        <w:jc w:val="left"/>
      </w:pPr>
      <w:r w:rsidRPr="00B454D6">
        <w:t xml:space="preserve">Ward Councillors notified:  NO, as it impacts on all </w:t>
      </w:r>
      <w:proofErr w:type="gramStart"/>
      <w:r w:rsidRPr="00B454D6">
        <w:t>Wards</w:t>
      </w:r>
      <w:proofErr w:type="gramEnd"/>
      <w:r w:rsidRPr="00B454D6">
        <w:t xml:space="preserve"> </w:t>
      </w:r>
    </w:p>
    <w:p w14:paraId="7D605383" w14:textId="66361456" w:rsidR="00D27D5B" w:rsidRPr="00B454D6" w:rsidRDefault="00D27D5B" w:rsidP="00D27D5B">
      <w:pPr>
        <w:pStyle w:val="Infotext"/>
        <w:rPr>
          <w:i/>
          <w:sz w:val="24"/>
          <w:szCs w:val="24"/>
        </w:rPr>
      </w:pPr>
    </w:p>
    <w:p w14:paraId="7370C9EA" w14:textId="34965D5E" w:rsidR="00D27D5B" w:rsidRPr="00B454D6" w:rsidRDefault="00D27D5B" w:rsidP="00D27D5B">
      <w:pPr>
        <w:pStyle w:val="Heading3"/>
        <w:spacing w:before="240"/>
        <w:rPr>
          <w:b w:val="0"/>
        </w:rPr>
      </w:pPr>
      <w:proofErr w:type="spellStart"/>
      <w:r w:rsidRPr="00B454D6">
        <w:t>EqIA</w:t>
      </w:r>
      <w:proofErr w:type="spellEnd"/>
      <w:r w:rsidRPr="00B454D6">
        <w:t xml:space="preserve"> carried out:  NO</w:t>
      </w:r>
      <w:r w:rsidR="00A118C0" w:rsidRPr="00B454D6">
        <w:t xml:space="preserve"> – for information </w:t>
      </w:r>
      <w:proofErr w:type="gramStart"/>
      <w:r w:rsidR="00A118C0" w:rsidRPr="00B454D6">
        <w:t>only</w:t>
      </w:r>
      <w:proofErr w:type="gramEnd"/>
    </w:p>
    <w:p w14:paraId="48FF03A1" w14:textId="0C991A80" w:rsidR="00D27D5B" w:rsidRPr="00B454D6" w:rsidRDefault="00D27D5B" w:rsidP="00D27D5B">
      <w:pPr>
        <w:pStyle w:val="Infotext"/>
        <w:rPr>
          <w:i/>
          <w:sz w:val="24"/>
          <w:szCs w:val="24"/>
        </w:rPr>
      </w:pPr>
    </w:p>
    <w:p w14:paraId="7A3B076F" w14:textId="77777777" w:rsidR="00D27D5B" w:rsidRPr="00B454D6" w:rsidRDefault="00D27D5B" w:rsidP="00D27D5B">
      <w:pPr>
        <w:pStyle w:val="Infotext"/>
      </w:pPr>
      <w:r w:rsidRPr="00B454D6">
        <w:t xml:space="preserve">If </w:t>
      </w:r>
      <w:r w:rsidRPr="00B454D6">
        <w:rPr>
          <w:b/>
        </w:rPr>
        <w:t>‘NO’</w:t>
      </w:r>
      <w:r w:rsidRPr="00B454D6">
        <w:t xml:space="preserve"> </w:t>
      </w:r>
      <w:proofErr w:type="gramStart"/>
      <w:r w:rsidRPr="00B454D6">
        <w:t>state</w:t>
      </w:r>
      <w:proofErr w:type="gramEnd"/>
      <w:r w:rsidRPr="00B454D6">
        <w:t xml:space="preserve"> why an </w:t>
      </w:r>
      <w:proofErr w:type="spellStart"/>
      <w:r w:rsidRPr="00B454D6">
        <w:t>EqIA</w:t>
      </w:r>
      <w:proofErr w:type="spellEnd"/>
      <w:r w:rsidRPr="00B454D6">
        <w:t xml:space="preserve"> is not required for Cabinet to take a decision</w:t>
      </w:r>
    </w:p>
    <w:p w14:paraId="45992642" w14:textId="192D1F44" w:rsidR="00D27D5B" w:rsidRPr="00B454D6" w:rsidRDefault="00D27D5B" w:rsidP="00D27D5B">
      <w:pPr>
        <w:pStyle w:val="Heading3"/>
        <w:spacing w:before="240"/>
        <w:jc w:val="left"/>
      </w:pPr>
      <w:proofErr w:type="spellStart"/>
      <w:r w:rsidRPr="00B454D6">
        <w:t>EqIA</w:t>
      </w:r>
      <w:proofErr w:type="spellEnd"/>
      <w:r w:rsidRPr="00B454D6">
        <w:t xml:space="preserve"> cleared by:  </w:t>
      </w:r>
      <w:r w:rsidR="00A118C0" w:rsidRPr="00B454D6">
        <w:t>N/A</w:t>
      </w:r>
    </w:p>
    <w:p w14:paraId="1F5D9269" w14:textId="77777777" w:rsidR="005441BD" w:rsidRPr="00B454D6" w:rsidRDefault="005441BD" w:rsidP="00695AB1">
      <w:pPr>
        <w:pStyle w:val="Heading2"/>
        <w:keepNext/>
        <w:spacing w:before="480" w:after="240"/>
      </w:pPr>
      <w:r w:rsidRPr="00B454D6">
        <w:t xml:space="preserve">Section </w:t>
      </w:r>
      <w:r w:rsidR="00B8374D" w:rsidRPr="00B454D6">
        <w:t>4</w:t>
      </w:r>
      <w:r w:rsidRPr="00B454D6">
        <w:t xml:space="preserve"> - Contact Details and Background Papers</w:t>
      </w:r>
    </w:p>
    <w:p w14:paraId="66937260" w14:textId="77777777" w:rsidR="004E7EA1" w:rsidRPr="00B454D6" w:rsidRDefault="004E7EA1" w:rsidP="004E7EA1">
      <w:pPr>
        <w:pStyle w:val="Infotext"/>
        <w:spacing w:after="240"/>
        <w:rPr>
          <w:sz w:val="24"/>
          <w:szCs w:val="24"/>
        </w:rPr>
      </w:pPr>
      <w:r w:rsidRPr="00B454D6">
        <w:rPr>
          <w:b/>
          <w:sz w:val="24"/>
          <w:szCs w:val="24"/>
        </w:rPr>
        <w:t xml:space="preserve">Contact:  </w:t>
      </w:r>
      <w:r w:rsidRPr="00B454D6">
        <w:rPr>
          <w:sz w:val="24"/>
          <w:szCs w:val="24"/>
        </w:rPr>
        <w:t>David Hughes, Planning Policy Manager, david.hughes@harrow.gov.uk</w:t>
      </w:r>
    </w:p>
    <w:p w14:paraId="4197BD0B" w14:textId="77777777" w:rsidR="004E7EA1" w:rsidRPr="00B454D6" w:rsidRDefault="004E7EA1" w:rsidP="00D63A79">
      <w:pPr>
        <w:pStyle w:val="Infotext"/>
        <w:keepNext/>
        <w:spacing w:after="240"/>
        <w:rPr>
          <w:b/>
          <w:szCs w:val="28"/>
        </w:rPr>
      </w:pPr>
      <w:r w:rsidRPr="00B454D6">
        <w:rPr>
          <w:b/>
          <w:szCs w:val="28"/>
        </w:rPr>
        <w:t xml:space="preserve">Background Papers: </w:t>
      </w:r>
    </w:p>
    <w:p w14:paraId="5502F4BF" w14:textId="60A97360" w:rsidR="00910B15" w:rsidRPr="004C32F1" w:rsidRDefault="00986FC6" w:rsidP="0073296A">
      <w:pPr>
        <w:pStyle w:val="Infotext"/>
        <w:spacing w:after="240"/>
        <w:rPr>
          <w:sz w:val="24"/>
          <w:szCs w:val="24"/>
        </w:rPr>
      </w:pPr>
      <w:r w:rsidRPr="004C32F1">
        <w:rPr>
          <w:sz w:val="24"/>
          <w:szCs w:val="24"/>
        </w:rPr>
        <w:t xml:space="preserve">Adoption of revised Local Development Scheme (LDS) – Cabinet </w:t>
      </w:r>
      <w:r w:rsidR="00013714" w:rsidRPr="004C32F1">
        <w:rPr>
          <w:sz w:val="24"/>
          <w:szCs w:val="24"/>
        </w:rPr>
        <w:t>– 16</w:t>
      </w:r>
      <w:r w:rsidR="00E973C7">
        <w:rPr>
          <w:sz w:val="24"/>
          <w:szCs w:val="24"/>
        </w:rPr>
        <w:t> </w:t>
      </w:r>
      <w:r w:rsidR="00013714" w:rsidRPr="004C32F1">
        <w:rPr>
          <w:sz w:val="24"/>
          <w:szCs w:val="24"/>
        </w:rPr>
        <w:t xml:space="preserve">February 2023 (item 109) - </w:t>
      </w:r>
      <w:hyperlink r:id="rId13" w:history="1">
        <w:r w:rsidR="00013714" w:rsidRPr="004C32F1">
          <w:rPr>
            <w:rStyle w:val="Hyperlink"/>
            <w:sz w:val="24"/>
            <w:szCs w:val="24"/>
          </w:rPr>
          <w:t>Agenda for Cabinet on Thursday 16 February 2023, 6.30 pm – London Borough of Harrow</w:t>
        </w:r>
      </w:hyperlink>
    </w:p>
    <w:p w14:paraId="7CA2D73E" w14:textId="4BCEB842" w:rsidR="00310634" w:rsidRDefault="00B53A94" w:rsidP="0073296A">
      <w:pPr>
        <w:pStyle w:val="Infotext"/>
        <w:spacing w:after="240"/>
        <w:rPr>
          <w:sz w:val="24"/>
          <w:szCs w:val="24"/>
        </w:rPr>
      </w:pPr>
      <w:r w:rsidRPr="004C32F1">
        <w:rPr>
          <w:bCs/>
          <w:sz w:val="24"/>
          <w:szCs w:val="24"/>
        </w:rPr>
        <w:t xml:space="preserve">New Harrow Local Plan – Way Forward and Strategic Objective – Planning Policy Advisory Panel </w:t>
      </w:r>
      <w:r w:rsidR="00E973C7">
        <w:rPr>
          <w:bCs/>
          <w:sz w:val="24"/>
          <w:szCs w:val="24"/>
        </w:rPr>
        <w:t xml:space="preserve">– 6 March 2023 </w:t>
      </w:r>
      <w:r w:rsidRPr="004C32F1">
        <w:rPr>
          <w:bCs/>
          <w:sz w:val="24"/>
          <w:szCs w:val="24"/>
        </w:rPr>
        <w:t>(item 33</w:t>
      </w:r>
      <w:r w:rsidR="004C32F1" w:rsidRPr="004C32F1">
        <w:rPr>
          <w:bCs/>
          <w:sz w:val="24"/>
          <w:szCs w:val="24"/>
        </w:rPr>
        <w:t xml:space="preserve">) - </w:t>
      </w:r>
      <w:hyperlink r:id="rId14" w:history="1">
        <w:r w:rsidR="004C32F1" w:rsidRPr="004C32F1">
          <w:rPr>
            <w:rStyle w:val="Hyperlink"/>
            <w:sz w:val="24"/>
            <w:szCs w:val="24"/>
          </w:rPr>
          <w:t>Agenda for Planning Policy Advisory Panel on Monday 6 March 2023, 6.30 pm – London Borough of Harrow</w:t>
        </w:r>
      </w:hyperlink>
    </w:p>
    <w:p w14:paraId="1690F3AA" w14:textId="4216F9AE" w:rsidR="00780C8B" w:rsidRDefault="00AC5383" w:rsidP="0073296A">
      <w:pPr>
        <w:pStyle w:val="Infotext"/>
        <w:spacing w:after="240"/>
        <w:rPr>
          <w:sz w:val="24"/>
          <w:szCs w:val="24"/>
        </w:rPr>
      </w:pPr>
      <w:r>
        <w:rPr>
          <w:sz w:val="24"/>
          <w:szCs w:val="24"/>
        </w:rPr>
        <w:t xml:space="preserve">National Planning Policy Framework (NPPF) (September 2023) - </w:t>
      </w:r>
      <w:hyperlink r:id="rId15" w:history="1">
        <w:r w:rsidRPr="00600C22">
          <w:rPr>
            <w:rStyle w:val="Hyperlink"/>
            <w:sz w:val="24"/>
            <w:szCs w:val="24"/>
          </w:rPr>
          <w:t>https://assets.publishing.service.gov.uk/government/uploads/system/uploads/attachment_data/file/1182995/NPPF_Sept_23.pdf</w:t>
        </w:r>
      </w:hyperlink>
      <w:r>
        <w:rPr>
          <w:sz w:val="24"/>
          <w:szCs w:val="24"/>
        </w:rPr>
        <w:t xml:space="preserve"> </w:t>
      </w:r>
    </w:p>
    <w:p w14:paraId="028D03A2" w14:textId="77777777" w:rsidR="00D70C34" w:rsidRDefault="008B1700" w:rsidP="008A630A">
      <w:pPr>
        <w:pStyle w:val="Infotext"/>
        <w:spacing w:after="240"/>
        <w:rPr>
          <w:sz w:val="24"/>
          <w:szCs w:val="24"/>
        </w:rPr>
      </w:pPr>
      <w:r>
        <w:rPr>
          <w:sz w:val="24"/>
          <w:szCs w:val="24"/>
        </w:rPr>
        <w:t xml:space="preserve">Current Harrow Local Plan: </w:t>
      </w:r>
      <w:hyperlink r:id="rId16" w:anchor="id-local_plan" w:history="1">
        <w:r w:rsidR="00636FD9" w:rsidRPr="00600C22">
          <w:rPr>
            <w:rStyle w:val="Hyperlink"/>
            <w:sz w:val="24"/>
            <w:szCs w:val="24"/>
          </w:rPr>
          <w:t>https://www.harrow.gov.uk/planning-developments#id-local_plan</w:t>
        </w:r>
      </w:hyperlink>
    </w:p>
    <w:p w14:paraId="4D19DA9F" w14:textId="623B4FF0" w:rsidR="00D70C34" w:rsidRDefault="00902F61" w:rsidP="008A630A">
      <w:pPr>
        <w:pStyle w:val="Infotext"/>
        <w:spacing w:after="240"/>
        <w:rPr>
          <w:sz w:val="24"/>
          <w:szCs w:val="24"/>
        </w:rPr>
      </w:pPr>
      <w:r>
        <w:rPr>
          <w:sz w:val="24"/>
          <w:szCs w:val="24"/>
        </w:rPr>
        <w:t xml:space="preserve">London Plan (regional spatial strategy) 2021: </w:t>
      </w:r>
      <w:hyperlink r:id="rId17" w:history="1">
        <w:r w:rsidRPr="00600C22">
          <w:rPr>
            <w:rStyle w:val="Hyperlink"/>
            <w:sz w:val="24"/>
            <w:szCs w:val="24"/>
          </w:rPr>
          <w:t>https://www.london.gov.uk/sites/default/files/the_london_plan_2021.pdf</w:t>
        </w:r>
      </w:hyperlink>
      <w:r>
        <w:rPr>
          <w:sz w:val="24"/>
          <w:szCs w:val="24"/>
        </w:rPr>
        <w:t xml:space="preserve"> </w:t>
      </w:r>
    </w:p>
    <w:p w14:paraId="17EF6872" w14:textId="76D10E2D" w:rsidR="00F112A0" w:rsidRDefault="00636FD9" w:rsidP="008A630A">
      <w:pPr>
        <w:pStyle w:val="Infotext"/>
        <w:spacing w:after="240"/>
        <w:rPr>
          <w:b/>
          <w:bCs/>
        </w:rPr>
      </w:pPr>
      <w:r>
        <w:rPr>
          <w:sz w:val="24"/>
          <w:szCs w:val="24"/>
        </w:rPr>
        <w:t xml:space="preserve"> </w:t>
      </w:r>
      <w:r w:rsidR="00F112A0">
        <w:rPr>
          <w:b/>
          <w:bCs/>
        </w:rPr>
        <w:br w:type="page"/>
      </w:r>
    </w:p>
    <w:p w14:paraId="7D10294A" w14:textId="19CE0F4B" w:rsidR="009D1E65" w:rsidRPr="009D1E65" w:rsidRDefault="009D1E65" w:rsidP="009D1E65">
      <w:pPr>
        <w:rPr>
          <w:b/>
          <w:bCs/>
          <w:sz w:val="28"/>
        </w:rPr>
      </w:pPr>
      <w:r w:rsidRPr="009D1E65">
        <w:rPr>
          <w:b/>
          <w:bCs/>
          <w:sz w:val="28"/>
        </w:rPr>
        <w:lastRenderedPageBreak/>
        <w:t>Appendix 1 – Draft Local Plan Table of Contents</w:t>
      </w:r>
      <w:r w:rsidR="00EE5D9E">
        <w:rPr>
          <w:b/>
          <w:bCs/>
          <w:sz w:val="28"/>
        </w:rPr>
        <w:t xml:space="preserve"> </w:t>
      </w:r>
      <w:r w:rsidR="00AE5081">
        <w:rPr>
          <w:b/>
          <w:bCs/>
          <w:sz w:val="28"/>
        </w:rPr>
        <w:t xml:space="preserve">(as </w:t>
      </w:r>
      <w:proofErr w:type="gramStart"/>
      <w:r w:rsidR="00AE5081">
        <w:rPr>
          <w:b/>
          <w:bCs/>
          <w:sz w:val="28"/>
        </w:rPr>
        <w:t>at</w:t>
      </w:r>
      <w:proofErr w:type="gramEnd"/>
      <w:r w:rsidR="00AE5081">
        <w:rPr>
          <w:b/>
          <w:bCs/>
          <w:sz w:val="28"/>
        </w:rPr>
        <w:t xml:space="preserve"> 23 October 2023, subject to ongoing drafting)</w:t>
      </w:r>
    </w:p>
    <w:p w14:paraId="54E905E6" w14:textId="77777777" w:rsidR="009D1E65" w:rsidRDefault="009D1E65" w:rsidP="009D1E65">
      <w:pPr>
        <w:rPr>
          <w:b/>
          <w:bCs/>
          <w:sz w:val="28"/>
        </w:rPr>
      </w:pPr>
    </w:p>
    <w:tbl>
      <w:tblPr>
        <w:tblStyle w:val="TableGrid"/>
        <w:tblW w:w="5000" w:type="pct"/>
        <w:tblLook w:val="04A0" w:firstRow="1" w:lastRow="0" w:firstColumn="1" w:lastColumn="0" w:noHBand="0" w:noVBand="1"/>
      </w:tblPr>
      <w:tblGrid>
        <w:gridCol w:w="8299"/>
      </w:tblGrid>
      <w:tr w:rsidR="00DC0425" w14:paraId="5E769E33" w14:textId="77777777" w:rsidTr="007227BB">
        <w:trPr>
          <w:trHeight w:val="49"/>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3EF00" w14:textId="44CFFDA5" w:rsidR="00DC0425" w:rsidRDefault="00DC0425">
            <w:pPr>
              <w:rPr>
                <w:rFonts w:cs="Arial"/>
                <w:b/>
                <w:bCs/>
                <w:sz w:val="22"/>
              </w:rPr>
            </w:pPr>
            <w:r>
              <w:rPr>
                <w:rFonts w:cs="Arial"/>
                <w:b/>
                <w:bCs/>
              </w:rPr>
              <w:t>Local Plan element</w:t>
            </w:r>
          </w:p>
        </w:tc>
      </w:tr>
      <w:tr w:rsidR="00DC0425" w14:paraId="0800594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79FE1BF" w14:textId="77777777" w:rsidR="00DC0425" w:rsidRDefault="00DC0425">
            <w:pPr>
              <w:rPr>
                <w:rFonts w:cs="Arial"/>
                <w:b/>
                <w:bCs/>
              </w:rPr>
            </w:pPr>
          </w:p>
        </w:tc>
      </w:tr>
      <w:tr w:rsidR="00DC0425" w:rsidRPr="00DC0425" w14:paraId="1E37804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106EE852" w14:textId="77777777" w:rsidR="00DC0425" w:rsidRPr="00DC0425" w:rsidRDefault="00DC0425">
            <w:pPr>
              <w:rPr>
                <w:rFonts w:cs="Arial"/>
                <w:b/>
                <w:bCs/>
              </w:rPr>
            </w:pPr>
            <w:r w:rsidRPr="00DC0425">
              <w:rPr>
                <w:rFonts w:cs="Arial"/>
                <w:b/>
                <w:bCs/>
              </w:rPr>
              <w:t xml:space="preserve">Borough Profile </w:t>
            </w:r>
          </w:p>
        </w:tc>
      </w:tr>
      <w:tr w:rsidR="00DC0425" w:rsidRPr="00DC0425" w14:paraId="7749265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23FF67C" w14:textId="77777777" w:rsidR="00DC0425" w:rsidRPr="00DC0425" w:rsidRDefault="00DC0425">
            <w:pPr>
              <w:rPr>
                <w:rFonts w:cs="Arial"/>
                <w:b/>
                <w:bCs/>
              </w:rPr>
            </w:pPr>
            <w:r w:rsidRPr="00DC0425">
              <w:rPr>
                <w:rFonts w:cs="Arial"/>
                <w:b/>
                <w:bCs/>
              </w:rPr>
              <w:t>Challenge for Harrow (Issues and objectives)</w:t>
            </w:r>
          </w:p>
        </w:tc>
      </w:tr>
      <w:tr w:rsidR="00DC0425" w:rsidRPr="00DC0425" w14:paraId="76E8399B"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C5008B5" w14:textId="77777777" w:rsidR="00DC0425" w:rsidRPr="00DC0425" w:rsidRDefault="00DC0425">
            <w:pPr>
              <w:rPr>
                <w:rFonts w:cs="Arial"/>
                <w:b/>
                <w:bCs/>
              </w:rPr>
            </w:pPr>
            <w:r w:rsidRPr="00DC0425">
              <w:rPr>
                <w:rFonts w:cs="Arial"/>
                <w:b/>
                <w:bCs/>
              </w:rPr>
              <w:t>Spatial Vision /Objectives</w:t>
            </w:r>
          </w:p>
        </w:tc>
      </w:tr>
      <w:tr w:rsidR="00DC0425" w:rsidRPr="00DC0425" w14:paraId="0DDA6008"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5F6E373" w14:textId="77777777" w:rsidR="00DC0425" w:rsidRPr="00DC0425" w:rsidRDefault="00DC0425">
            <w:pPr>
              <w:rPr>
                <w:rFonts w:cs="Arial"/>
                <w:b/>
                <w:bCs/>
              </w:rPr>
            </w:pPr>
            <w:r w:rsidRPr="00DC0425">
              <w:rPr>
                <w:rFonts w:cs="Arial"/>
                <w:b/>
                <w:bCs/>
              </w:rPr>
              <w:t xml:space="preserve">Spatial Strategy </w:t>
            </w:r>
          </w:p>
        </w:tc>
      </w:tr>
      <w:tr w:rsidR="00DC0425" w14:paraId="31A8F83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DA2D2D3" w14:textId="77777777" w:rsidR="00DC0425" w:rsidRDefault="00DC0425">
            <w:pPr>
              <w:rPr>
                <w:rFonts w:cs="Arial"/>
              </w:rPr>
            </w:pPr>
          </w:p>
        </w:tc>
      </w:tr>
      <w:tr w:rsidR="00DC0425" w:rsidRPr="00DC0425" w14:paraId="1424E02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A46A175" w14:textId="77777777" w:rsidR="00DC0425" w:rsidRPr="00DC0425" w:rsidRDefault="00DC0425">
            <w:pPr>
              <w:rPr>
                <w:rFonts w:cs="Arial"/>
                <w:b/>
                <w:bCs/>
              </w:rPr>
            </w:pPr>
            <w:r w:rsidRPr="00DC0425">
              <w:rPr>
                <w:rFonts w:cs="Arial"/>
                <w:b/>
                <w:bCs/>
              </w:rPr>
              <w:t xml:space="preserve">Strategic Policy 01: High quality growth </w:t>
            </w:r>
          </w:p>
        </w:tc>
      </w:tr>
      <w:tr w:rsidR="00DC0425" w14:paraId="70E5ABF7"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5B92E48" w14:textId="1E94003D" w:rsidR="00DC0425" w:rsidRDefault="00DC0425">
            <w:pPr>
              <w:rPr>
                <w:rFonts w:cs="Arial"/>
              </w:rPr>
            </w:pPr>
            <w:r>
              <w:rPr>
                <w:rFonts w:cs="Arial"/>
              </w:rPr>
              <w:t xml:space="preserve">GR1 Delivering high quality design in Harrow </w:t>
            </w:r>
          </w:p>
        </w:tc>
      </w:tr>
      <w:tr w:rsidR="00DC0425" w14:paraId="7377D98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6031453" w14:textId="7A8AC7D6" w:rsidR="00DC0425" w:rsidRDefault="00DC0425">
            <w:pPr>
              <w:rPr>
                <w:rFonts w:cs="Arial"/>
              </w:rPr>
            </w:pPr>
            <w:r>
              <w:rPr>
                <w:rFonts w:cs="Arial"/>
              </w:rPr>
              <w:t>GR2 Inclusive and safe design</w:t>
            </w:r>
          </w:p>
        </w:tc>
      </w:tr>
      <w:tr w:rsidR="00DC0425" w14:paraId="2C01AAC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7E04377" w14:textId="4C9C0841" w:rsidR="00DC0425" w:rsidRDefault="00DC0425">
            <w:pPr>
              <w:rPr>
                <w:rFonts w:cs="Arial"/>
              </w:rPr>
            </w:pPr>
            <w:r>
              <w:rPr>
                <w:rFonts w:cs="Arial"/>
              </w:rPr>
              <w:t>GR3 Public realm and connecting places</w:t>
            </w:r>
          </w:p>
        </w:tc>
      </w:tr>
      <w:tr w:rsidR="00DC0425" w14:paraId="20FF3B6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700EE14" w14:textId="18F58393" w:rsidR="00DC0425" w:rsidRDefault="00DC0425">
            <w:pPr>
              <w:rPr>
                <w:rFonts w:cs="Arial"/>
              </w:rPr>
            </w:pPr>
            <w:r>
              <w:rPr>
                <w:rFonts w:cs="Arial"/>
              </w:rPr>
              <w:t xml:space="preserve">GR4 Building heights </w:t>
            </w:r>
          </w:p>
        </w:tc>
      </w:tr>
      <w:tr w:rsidR="00DC0425" w14:paraId="7B90090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A95AD18" w14:textId="3C174DB2" w:rsidR="00DC0425" w:rsidRDefault="00DC0425">
            <w:pPr>
              <w:rPr>
                <w:rFonts w:cs="Arial"/>
              </w:rPr>
            </w:pPr>
            <w:r>
              <w:rPr>
                <w:rFonts w:cs="Arial"/>
              </w:rPr>
              <w:t>GR5 View management</w:t>
            </w:r>
          </w:p>
        </w:tc>
      </w:tr>
      <w:tr w:rsidR="00DC0425" w14:paraId="135BCAE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FB68F61" w14:textId="48948B82" w:rsidR="00DC0425" w:rsidRDefault="00DC0425">
            <w:pPr>
              <w:rPr>
                <w:rFonts w:cs="Arial"/>
              </w:rPr>
            </w:pPr>
            <w:r w:rsidRPr="00FA3E77">
              <w:rPr>
                <w:rFonts w:cs="Arial"/>
              </w:rPr>
              <w:t>GR</w:t>
            </w:r>
            <w:r w:rsidR="003F2C6F" w:rsidRPr="00FA3E77">
              <w:rPr>
                <w:rFonts w:cs="Arial"/>
              </w:rPr>
              <w:t>6</w:t>
            </w:r>
            <w:r>
              <w:rPr>
                <w:rFonts w:cs="Arial"/>
              </w:rPr>
              <w:t xml:space="preserve"> External lighting</w:t>
            </w:r>
          </w:p>
        </w:tc>
      </w:tr>
      <w:tr w:rsidR="00DC0425" w14:paraId="15D5C0F9"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3836625" w14:textId="1FA95678" w:rsidR="00DC0425" w:rsidRDefault="00DC0425">
            <w:pPr>
              <w:rPr>
                <w:rFonts w:cs="Arial"/>
              </w:rPr>
            </w:pPr>
            <w:r w:rsidRPr="00FA3E77">
              <w:rPr>
                <w:rFonts w:cs="Arial"/>
              </w:rPr>
              <w:t>GR</w:t>
            </w:r>
            <w:r w:rsidR="003F2C6F" w:rsidRPr="00FA3E77">
              <w:rPr>
                <w:rFonts w:cs="Arial"/>
              </w:rPr>
              <w:t>7</w:t>
            </w:r>
            <w:r>
              <w:rPr>
                <w:rFonts w:cs="Arial"/>
              </w:rPr>
              <w:t xml:space="preserve"> Building alterations, </w:t>
            </w:r>
            <w:proofErr w:type="gramStart"/>
            <w:r>
              <w:rPr>
                <w:rFonts w:cs="Arial"/>
              </w:rPr>
              <w:t>extensions</w:t>
            </w:r>
            <w:proofErr w:type="gramEnd"/>
            <w:r>
              <w:rPr>
                <w:rFonts w:cs="Arial"/>
              </w:rPr>
              <w:t xml:space="preserve"> and basement development </w:t>
            </w:r>
          </w:p>
        </w:tc>
      </w:tr>
      <w:tr w:rsidR="00DC0425" w14:paraId="468691B7"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458BDDD" w14:textId="1376500D" w:rsidR="00DC0425" w:rsidRDefault="00DC0425">
            <w:pPr>
              <w:rPr>
                <w:rFonts w:cs="Arial"/>
              </w:rPr>
            </w:pPr>
            <w:r w:rsidRPr="00FA3E77">
              <w:rPr>
                <w:rFonts w:cs="Arial"/>
              </w:rPr>
              <w:t>GR</w:t>
            </w:r>
            <w:r w:rsidR="003F2C6F" w:rsidRPr="00FA3E77">
              <w:rPr>
                <w:rFonts w:cs="Arial"/>
              </w:rPr>
              <w:t>8</w:t>
            </w:r>
            <w:r>
              <w:rPr>
                <w:rFonts w:cs="Arial"/>
              </w:rPr>
              <w:t xml:space="preserve"> Infill and </w:t>
            </w:r>
            <w:proofErr w:type="spellStart"/>
            <w:r>
              <w:rPr>
                <w:rFonts w:cs="Arial"/>
              </w:rPr>
              <w:t>backland</w:t>
            </w:r>
            <w:proofErr w:type="spellEnd"/>
            <w:r>
              <w:rPr>
                <w:rFonts w:cs="Arial"/>
              </w:rPr>
              <w:t xml:space="preserve"> sites, back </w:t>
            </w:r>
            <w:proofErr w:type="gramStart"/>
            <w:r>
              <w:rPr>
                <w:rFonts w:cs="Arial"/>
              </w:rPr>
              <w:t>gardens</w:t>
            </w:r>
            <w:proofErr w:type="gramEnd"/>
            <w:r>
              <w:rPr>
                <w:rFonts w:cs="Arial"/>
              </w:rPr>
              <w:t xml:space="preserve"> and amenity areas </w:t>
            </w:r>
          </w:p>
        </w:tc>
      </w:tr>
      <w:tr w:rsidR="00DC0425" w14:paraId="49BDA41E"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390F7F7" w14:textId="6A6E4308" w:rsidR="00DC0425" w:rsidRDefault="00DC0425">
            <w:pPr>
              <w:rPr>
                <w:rFonts w:cs="Arial"/>
              </w:rPr>
            </w:pPr>
            <w:r w:rsidRPr="00FA3E77">
              <w:rPr>
                <w:rFonts w:cs="Arial"/>
              </w:rPr>
              <w:t>GR</w:t>
            </w:r>
            <w:r w:rsidR="003F2C6F" w:rsidRPr="00FA3E77">
              <w:rPr>
                <w:rFonts w:cs="Arial"/>
              </w:rPr>
              <w:t>9</w:t>
            </w:r>
            <w:r>
              <w:rPr>
                <w:rFonts w:cs="Arial"/>
              </w:rPr>
              <w:t xml:space="preserve"> Shopfronts</w:t>
            </w:r>
          </w:p>
        </w:tc>
      </w:tr>
      <w:tr w:rsidR="00DC0425" w14:paraId="7EF525D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B4DF4D5" w14:textId="7D5142CF" w:rsidR="00DC0425" w:rsidRDefault="00DC0425">
            <w:pPr>
              <w:rPr>
                <w:rFonts w:cs="Arial"/>
              </w:rPr>
            </w:pPr>
            <w:r w:rsidRPr="00FA3E77">
              <w:rPr>
                <w:rFonts w:cs="Arial"/>
              </w:rPr>
              <w:t>GR1</w:t>
            </w:r>
            <w:r w:rsidR="003F2C6F" w:rsidRPr="00FA3E77">
              <w:rPr>
                <w:rFonts w:cs="Arial"/>
              </w:rPr>
              <w:t>0</w:t>
            </w:r>
            <w:r>
              <w:rPr>
                <w:rFonts w:cs="Arial"/>
              </w:rPr>
              <w:t xml:space="preserve"> Outdoor advertisements, digital </w:t>
            </w:r>
            <w:proofErr w:type="gramStart"/>
            <w:r>
              <w:rPr>
                <w:rFonts w:cs="Arial"/>
              </w:rPr>
              <w:t>displays</w:t>
            </w:r>
            <w:proofErr w:type="gramEnd"/>
            <w:r>
              <w:rPr>
                <w:rFonts w:cs="Arial"/>
              </w:rPr>
              <w:t xml:space="preserve"> and hoardings </w:t>
            </w:r>
          </w:p>
        </w:tc>
      </w:tr>
      <w:tr w:rsidR="00DC0425" w14:paraId="2908674E"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1DBAC763" w14:textId="77777777" w:rsidR="00DC0425" w:rsidRDefault="00DC0425">
            <w:pPr>
              <w:rPr>
                <w:rFonts w:cs="Arial"/>
              </w:rPr>
            </w:pPr>
          </w:p>
        </w:tc>
      </w:tr>
      <w:tr w:rsidR="00DC0425" w:rsidRPr="00DC0425" w14:paraId="52E6D71B"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26FD196" w14:textId="77777777" w:rsidR="00DC0425" w:rsidRPr="00DC0425" w:rsidRDefault="00DC0425">
            <w:pPr>
              <w:rPr>
                <w:rFonts w:cs="Arial"/>
                <w:b/>
                <w:bCs/>
              </w:rPr>
            </w:pPr>
            <w:r w:rsidRPr="00DC0425">
              <w:rPr>
                <w:rFonts w:cs="Arial"/>
                <w:b/>
                <w:bCs/>
              </w:rPr>
              <w:t>Strategic Policy 02: Heritage</w:t>
            </w:r>
          </w:p>
        </w:tc>
      </w:tr>
      <w:tr w:rsidR="00DC0425" w14:paraId="0502786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CD70045" w14:textId="72A59B45" w:rsidR="00DC0425" w:rsidRDefault="00DC0425">
            <w:pPr>
              <w:rPr>
                <w:rFonts w:cs="Arial"/>
              </w:rPr>
            </w:pPr>
            <w:r>
              <w:rPr>
                <w:rFonts w:cs="Arial"/>
              </w:rPr>
              <w:t>HE1 Heritage Assets</w:t>
            </w:r>
          </w:p>
        </w:tc>
      </w:tr>
      <w:tr w:rsidR="00DC0425" w14:paraId="7598936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AD2EEEC" w14:textId="44461BA7" w:rsidR="00DC0425" w:rsidRDefault="00DC0425">
            <w:pPr>
              <w:rPr>
                <w:rFonts w:cs="Arial"/>
              </w:rPr>
            </w:pPr>
            <w:r>
              <w:rPr>
                <w:rFonts w:cs="Arial"/>
              </w:rPr>
              <w:t>HE2 Enabling development</w:t>
            </w:r>
          </w:p>
        </w:tc>
      </w:tr>
      <w:tr w:rsidR="00DC0425" w14:paraId="43926CF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95B1394" w14:textId="77777777" w:rsidR="00DC0425" w:rsidRDefault="00DC0425">
            <w:pPr>
              <w:rPr>
                <w:rFonts w:cs="Arial"/>
              </w:rPr>
            </w:pPr>
          </w:p>
        </w:tc>
      </w:tr>
      <w:tr w:rsidR="00DC0425" w:rsidRPr="002575D1" w14:paraId="031056D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636A3317" w14:textId="509FA40B" w:rsidR="00DC0425" w:rsidRPr="002575D1" w:rsidRDefault="00DC0425">
            <w:pPr>
              <w:rPr>
                <w:rFonts w:cs="Arial"/>
                <w:b/>
                <w:bCs/>
              </w:rPr>
            </w:pPr>
            <w:r w:rsidRPr="002575D1">
              <w:rPr>
                <w:rFonts w:cs="Arial"/>
                <w:b/>
                <w:bCs/>
              </w:rPr>
              <w:t xml:space="preserve">Strategic Policy 3: Meeting Harrow’s housing needs </w:t>
            </w:r>
          </w:p>
        </w:tc>
      </w:tr>
      <w:tr w:rsidR="00DC0425" w14:paraId="4966FB53"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24E09C99" w14:textId="77777777" w:rsidR="00DC0425" w:rsidRDefault="00DC0425">
            <w:pPr>
              <w:rPr>
                <w:rFonts w:cs="Arial"/>
              </w:rPr>
            </w:pPr>
            <w:r>
              <w:rPr>
                <w:rFonts w:cs="Arial"/>
              </w:rPr>
              <w:t>HO1 Housing Size Mix</w:t>
            </w:r>
          </w:p>
        </w:tc>
      </w:tr>
      <w:tr w:rsidR="00DC0425" w14:paraId="273D3A6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EC46EF4" w14:textId="23A9A0CE" w:rsidR="00DC0425" w:rsidRDefault="002575D1">
            <w:pPr>
              <w:rPr>
                <w:rFonts w:cs="Arial"/>
              </w:rPr>
            </w:pPr>
            <w:r w:rsidRPr="00FA3E77">
              <w:rPr>
                <w:rFonts w:cs="Arial"/>
              </w:rPr>
              <w:t>H</w:t>
            </w:r>
            <w:r w:rsidR="003F2C6F" w:rsidRPr="00FA3E77">
              <w:rPr>
                <w:rFonts w:cs="Arial"/>
              </w:rPr>
              <w:t>O</w:t>
            </w:r>
            <w:r w:rsidRPr="00FA3E77">
              <w:rPr>
                <w:rFonts w:cs="Arial"/>
              </w:rPr>
              <w:t>2</w:t>
            </w:r>
            <w:r>
              <w:rPr>
                <w:rFonts w:cs="Arial"/>
              </w:rPr>
              <w:t xml:space="preserve"> </w:t>
            </w:r>
            <w:r w:rsidR="00DC0425">
              <w:rPr>
                <w:rFonts w:cs="Arial"/>
              </w:rPr>
              <w:t xml:space="preserve">Conversions </w:t>
            </w:r>
          </w:p>
        </w:tc>
      </w:tr>
      <w:tr w:rsidR="00DC0425" w14:paraId="3E0C936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2F77822" w14:textId="1652B591" w:rsidR="00DC0425" w:rsidRDefault="00DC0425">
            <w:pPr>
              <w:rPr>
                <w:rFonts w:cs="Arial"/>
              </w:rPr>
            </w:pPr>
            <w:r>
              <w:rPr>
                <w:rFonts w:cs="Arial"/>
              </w:rPr>
              <w:t>HO</w:t>
            </w:r>
            <w:r w:rsidR="002575D1">
              <w:rPr>
                <w:rFonts w:cs="Arial"/>
              </w:rPr>
              <w:t>3</w:t>
            </w:r>
            <w:r>
              <w:rPr>
                <w:rFonts w:cs="Arial"/>
              </w:rPr>
              <w:t xml:space="preserve"> Optimising the use of small housing sites </w:t>
            </w:r>
          </w:p>
        </w:tc>
      </w:tr>
      <w:tr w:rsidR="00DC0425" w14:paraId="72ABFA2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37F5CF1" w14:textId="3334EB74" w:rsidR="00DC0425" w:rsidRDefault="00DC0425">
            <w:pPr>
              <w:rPr>
                <w:rFonts w:cs="Arial"/>
              </w:rPr>
            </w:pPr>
            <w:r>
              <w:rPr>
                <w:rFonts w:cs="Arial"/>
              </w:rPr>
              <w:t>HO</w:t>
            </w:r>
            <w:r w:rsidR="002575D1">
              <w:rPr>
                <w:rFonts w:cs="Arial"/>
              </w:rPr>
              <w:t>4</w:t>
            </w:r>
            <w:r>
              <w:rPr>
                <w:rFonts w:cs="Arial"/>
              </w:rPr>
              <w:t xml:space="preserve"> Genuinely affordable housing </w:t>
            </w:r>
          </w:p>
        </w:tc>
      </w:tr>
      <w:tr w:rsidR="00DC0425" w14:paraId="7E15B17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AA832EF" w14:textId="10399FEE" w:rsidR="00DC0425" w:rsidRDefault="00DC0425">
            <w:pPr>
              <w:rPr>
                <w:rFonts w:cs="Arial"/>
              </w:rPr>
            </w:pPr>
            <w:r>
              <w:rPr>
                <w:rFonts w:cs="Arial"/>
              </w:rPr>
              <w:t>HO</w:t>
            </w:r>
            <w:r w:rsidR="002575D1">
              <w:rPr>
                <w:rFonts w:cs="Arial"/>
              </w:rPr>
              <w:t>5</w:t>
            </w:r>
            <w:r>
              <w:rPr>
                <w:rFonts w:cs="Arial"/>
              </w:rPr>
              <w:t xml:space="preserve"> Housing estate maintenance, </w:t>
            </w:r>
            <w:proofErr w:type="gramStart"/>
            <w:r>
              <w:rPr>
                <w:rFonts w:cs="Arial"/>
              </w:rPr>
              <w:t>renewal</w:t>
            </w:r>
            <w:proofErr w:type="gramEnd"/>
            <w:r>
              <w:rPr>
                <w:rFonts w:cs="Arial"/>
              </w:rPr>
              <w:t xml:space="preserve"> and regeneration </w:t>
            </w:r>
          </w:p>
        </w:tc>
      </w:tr>
      <w:tr w:rsidR="00DC0425" w14:paraId="7F81155C"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2145A83A" w14:textId="10E6D7BC" w:rsidR="00DC0425" w:rsidRDefault="00DC0425">
            <w:pPr>
              <w:rPr>
                <w:rFonts w:cs="Arial"/>
              </w:rPr>
            </w:pPr>
            <w:r>
              <w:rPr>
                <w:rFonts w:cs="Arial"/>
              </w:rPr>
              <w:t>HO</w:t>
            </w:r>
            <w:r w:rsidR="002575D1">
              <w:rPr>
                <w:rFonts w:cs="Arial"/>
              </w:rPr>
              <w:t>6</w:t>
            </w:r>
            <w:r>
              <w:rPr>
                <w:rFonts w:cs="Arial"/>
              </w:rPr>
              <w:t xml:space="preserve"> Purpose built student accommodation </w:t>
            </w:r>
          </w:p>
        </w:tc>
      </w:tr>
      <w:tr w:rsidR="00DC0425" w14:paraId="0E60C89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161D592B" w14:textId="270E58F9" w:rsidR="00DC0425" w:rsidRDefault="00DC0425">
            <w:pPr>
              <w:rPr>
                <w:rFonts w:cs="Arial"/>
              </w:rPr>
            </w:pPr>
            <w:r>
              <w:rPr>
                <w:rFonts w:cs="Arial"/>
              </w:rPr>
              <w:t>HO</w:t>
            </w:r>
            <w:r w:rsidR="002575D1">
              <w:rPr>
                <w:rFonts w:cs="Arial"/>
              </w:rPr>
              <w:t>7</w:t>
            </w:r>
            <w:r>
              <w:rPr>
                <w:rFonts w:cs="Arial"/>
              </w:rPr>
              <w:t xml:space="preserve"> Co-Living </w:t>
            </w:r>
          </w:p>
        </w:tc>
      </w:tr>
      <w:tr w:rsidR="00DC0425" w14:paraId="5CDBD778"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1FC73D8" w14:textId="3D8AC0C6" w:rsidR="00DC0425" w:rsidRDefault="00DC0425">
            <w:pPr>
              <w:rPr>
                <w:rFonts w:cs="Arial"/>
              </w:rPr>
            </w:pPr>
            <w:r w:rsidRPr="00FA3E77">
              <w:rPr>
                <w:rFonts w:cs="Arial"/>
              </w:rPr>
              <w:t>HO</w:t>
            </w:r>
            <w:r w:rsidR="003F2C6F" w:rsidRPr="00FA3E77">
              <w:rPr>
                <w:rFonts w:cs="Arial"/>
              </w:rPr>
              <w:t>8</w:t>
            </w:r>
            <w:r>
              <w:rPr>
                <w:rFonts w:cs="Arial"/>
              </w:rPr>
              <w:t xml:space="preserve"> Housing with shared facilities (Houses in Multiple Occupation)</w:t>
            </w:r>
          </w:p>
        </w:tc>
      </w:tr>
      <w:tr w:rsidR="00DC0425" w14:paraId="19B9FFE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8E5F2E7" w14:textId="19A9AE4D" w:rsidR="00DC0425" w:rsidRDefault="00DC0425">
            <w:pPr>
              <w:rPr>
                <w:rFonts w:cs="Arial"/>
              </w:rPr>
            </w:pPr>
            <w:r w:rsidRPr="00FA3E77">
              <w:rPr>
                <w:rFonts w:cs="Arial"/>
              </w:rPr>
              <w:t>HO</w:t>
            </w:r>
            <w:r w:rsidR="003F2C6F" w:rsidRPr="00FA3E77">
              <w:rPr>
                <w:rFonts w:cs="Arial"/>
              </w:rPr>
              <w:t>9</w:t>
            </w:r>
            <w:r>
              <w:rPr>
                <w:rFonts w:cs="Arial"/>
              </w:rPr>
              <w:t xml:space="preserve"> Self-build and custom-build housing </w:t>
            </w:r>
          </w:p>
        </w:tc>
      </w:tr>
      <w:tr w:rsidR="00DC0425" w14:paraId="2E216857"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F9A4F8E" w14:textId="4228DC21" w:rsidR="00DC0425" w:rsidRDefault="00DC0425">
            <w:pPr>
              <w:rPr>
                <w:rFonts w:cs="Arial"/>
              </w:rPr>
            </w:pPr>
            <w:r w:rsidRPr="00FA3E77">
              <w:rPr>
                <w:rFonts w:cs="Arial"/>
              </w:rPr>
              <w:t>HO</w:t>
            </w:r>
            <w:r w:rsidR="003F2C6F" w:rsidRPr="00FA3E77">
              <w:rPr>
                <w:rFonts w:cs="Arial"/>
              </w:rPr>
              <w:t>10</w:t>
            </w:r>
            <w:r>
              <w:rPr>
                <w:rFonts w:cs="Arial"/>
              </w:rPr>
              <w:t xml:space="preserve"> Gypsy and traveller accommodation </w:t>
            </w:r>
          </w:p>
        </w:tc>
      </w:tr>
      <w:tr w:rsidR="00DC0425" w14:paraId="3EAB08D9"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2ACA274" w14:textId="77777777" w:rsidR="00DC0425" w:rsidRDefault="00DC0425">
            <w:pPr>
              <w:rPr>
                <w:rFonts w:cs="Arial"/>
              </w:rPr>
            </w:pPr>
          </w:p>
        </w:tc>
      </w:tr>
      <w:tr w:rsidR="00DC0425" w:rsidRPr="00DC0425" w14:paraId="0CEE92E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27F33B7" w14:textId="77777777" w:rsidR="00DC0425" w:rsidRPr="00DC0425" w:rsidRDefault="00DC0425">
            <w:pPr>
              <w:rPr>
                <w:rFonts w:cs="Arial"/>
                <w:b/>
                <w:bCs/>
              </w:rPr>
            </w:pPr>
            <w:r w:rsidRPr="00DC0425">
              <w:rPr>
                <w:rFonts w:cs="Arial"/>
                <w:b/>
                <w:bCs/>
              </w:rPr>
              <w:t>Strategic Policy 04: Local Economy</w:t>
            </w:r>
          </w:p>
        </w:tc>
      </w:tr>
      <w:tr w:rsidR="00DC0425" w14:paraId="7E5650C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786C7F7" w14:textId="17712FB6" w:rsidR="00DC0425" w:rsidRDefault="00DC0425">
            <w:pPr>
              <w:rPr>
                <w:rFonts w:cs="Arial"/>
              </w:rPr>
            </w:pPr>
            <w:r w:rsidRPr="00FA3E77">
              <w:rPr>
                <w:rFonts w:cs="Arial"/>
              </w:rPr>
              <w:t>LE</w:t>
            </w:r>
            <w:r w:rsidR="00562713" w:rsidRPr="00FA3E77">
              <w:rPr>
                <w:rFonts w:cs="Arial"/>
              </w:rPr>
              <w:t>1</w:t>
            </w:r>
            <w:r w:rsidRPr="00FA3E77">
              <w:rPr>
                <w:rFonts w:cs="Arial"/>
              </w:rPr>
              <w:t xml:space="preserve"> </w:t>
            </w:r>
            <w:r w:rsidR="00B62BD1" w:rsidRPr="00FA3E77">
              <w:rPr>
                <w:rFonts w:cs="Arial"/>
              </w:rPr>
              <w:t xml:space="preserve">Town Centre </w:t>
            </w:r>
            <w:r w:rsidRPr="00FA3E77">
              <w:rPr>
                <w:rFonts w:cs="Arial"/>
              </w:rPr>
              <w:t xml:space="preserve">Principles </w:t>
            </w:r>
          </w:p>
        </w:tc>
      </w:tr>
      <w:tr w:rsidR="00DC0425" w14:paraId="56FE40F6"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0670ECF" w14:textId="6C40173B" w:rsidR="00DC0425" w:rsidRDefault="00DC0425">
            <w:pPr>
              <w:rPr>
                <w:rFonts w:cs="Arial"/>
              </w:rPr>
            </w:pPr>
            <w:r w:rsidRPr="00FA3E77">
              <w:rPr>
                <w:rFonts w:cs="Arial"/>
              </w:rPr>
              <w:t>LE</w:t>
            </w:r>
            <w:r w:rsidR="00562713" w:rsidRPr="00FA3E77">
              <w:rPr>
                <w:rFonts w:cs="Arial"/>
              </w:rPr>
              <w:t>2</w:t>
            </w:r>
            <w:r w:rsidRPr="00FA3E77">
              <w:rPr>
                <w:rFonts w:cs="Arial"/>
              </w:rPr>
              <w:t xml:space="preserve"> </w:t>
            </w:r>
            <w:r w:rsidR="00562713" w:rsidRPr="00FA3E77">
              <w:rPr>
                <w:rFonts w:cs="Arial"/>
              </w:rPr>
              <w:t>Harrow and Wealdstone Opportunity Area</w:t>
            </w:r>
          </w:p>
        </w:tc>
      </w:tr>
      <w:tr w:rsidR="00DC0425" w14:paraId="6D2ACB9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730F049E" w14:textId="71C82286" w:rsidR="00DC0425" w:rsidRDefault="00DC0425">
            <w:pPr>
              <w:rPr>
                <w:rFonts w:cs="Arial"/>
              </w:rPr>
            </w:pPr>
            <w:r w:rsidRPr="00FA3E77">
              <w:rPr>
                <w:rFonts w:cs="Arial"/>
              </w:rPr>
              <w:t>LE</w:t>
            </w:r>
            <w:r w:rsidR="00562713" w:rsidRPr="00FA3E77">
              <w:rPr>
                <w:rFonts w:cs="Arial"/>
              </w:rPr>
              <w:t>3</w:t>
            </w:r>
            <w:r>
              <w:rPr>
                <w:rFonts w:cs="Arial"/>
              </w:rPr>
              <w:t xml:space="preserve"> Night-time and evening economy </w:t>
            </w:r>
          </w:p>
        </w:tc>
      </w:tr>
      <w:tr w:rsidR="00DC0425" w14:paraId="2DC037ED"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54FCC57" w14:textId="1C7AC928" w:rsidR="00DC0425" w:rsidRDefault="735F0B04">
            <w:pPr>
              <w:rPr>
                <w:rFonts w:cs="Arial"/>
              </w:rPr>
            </w:pPr>
            <w:r w:rsidRPr="5AF4AE5E">
              <w:rPr>
                <w:rFonts w:cs="Arial"/>
              </w:rPr>
              <w:t>LE</w:t>
            </w:r>
            <w:r w:rsidR="3E9E6911" w:rsidRPr="5AF4AE5E">
              <w:rPr>
                <w:rFonts w:cs="Arial"/>
              </w:rPr>
              <w:t>4</w:t>
            </w:r>
            <w:r w:rsidR="00DC0425">
              <w:rPr>
                <w:rFonts w:cs="Arial"/>
              </w:rPr>
              <w:t xml:space="preserve"> Industrial Land </w:t>
            </w:r>
          </w:p>
        </w:tc>
      </w:tr>
      <w:tr w:rsidR="00DC0425" w14:paraId="3D8CF3F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22E5437" w14:textId="2663A2B6" w:rsidR="00DC0425" w:rsidRDefault="735F0B04">
            <w:pPr>
              <w:rPr>
                <w:rFonts w:cs="Arial"/>
              </w:rPr>
            </w:pPr>
            <w:r w:rsidRPr="5AF4AE5E">
              <w:rPr>
                <w:rFonts w:cs="Arial"/>
              </w:rPr>
              <w:t>LE</w:t>
            </w:r>
            <w:r w:rsidR="3425AFD6" w:rsidRPr="5AF4AE5E">
              <w:rPr>
                <w:rFonts w:cs="Arial"/>
              </w:rPr>
              <w:t>5</w:t>
            </w:r>
            <w:r w:rsidRPr="5AF4AE5E">
              <w:rPr>
                <w:rFonts w:cs="Arial"/>
              </w:rPr>
              <w:t xml:space="preserve"> </w:t>
            </w:r>
            <w:r w:rsidR="00C9BDF1" w:rsidRPr="5AF4AE5E">
              <w:rPr>
                <w:rFonts w:cs="Arial"/>
              </w:rPr>
              <w:t xml:space="preserve">Culture &amp; Creative Industries </w:t>
            </w:r>
            <w:r w:rsidRPr="5AF4AE5E">
              <w:rPr>
                <w:rFonts w:cs="Arial"/>
              </w:rPr>
              <w:t xml:space="preserve"> </w:t>
            </w:r>
          </w:p>
        </w:tc>
      </w:tr>
      <w:tr w:rsidR="00DC0425" w14:paraId="02A1680D"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6377D7D7" w14:textId="28BA8803" w:rsidR="00DC0425" w:rsidRDefault="00DC0425">
            <w:pPr>
              <w:rPr>
                <w:rFonts w:cs="Arial"/>
              </w:rPr>
            </w:pPr>
            <w:r w:rsidRPr="00FA3E77">
              <w:rPr>
                <w:rFonts w:cs="Arial"/>
              </w:rPr>
              <w:t>LE</w:t>
            </w:r>
            <w:r w:rsidR="00562713" w:rsidRPr="00FA3E77">
              <w:rPr>
                <w:rFonts w:cs="Arial"/>
              </w:rPr>
              <w:t>6</w:t>
            </w:r>
            <w:r>
              <w:rPr>
                <w:rFonts w:cs="Arial"/>
              </w:rPr>
              <w:t xml:space="preserve"> Visitor accommodation</w:t>
            </w:r>
          </w:p>
        </w:tc>
      </w:tr>
      <w:tr w:rsidR="00DC0425" w14:paraId="4F9FF42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5217C37" w14:textId="77777777" w:rsidR="00DC0425" w:rsidRPr="00FA3E77" w:rsidRDefault="00DC0425">
            <w:pPr>
              <w:rPr>
                <w:rFonts w:cs="Arial"/>
              </w:rPr>
            </w:pPr>
          </w:p>
        </w:tc>
      </w:tr>
      <w:tr w:rsidR="00DC0425" w:rsidRPr="00DC0425" w14:paraId="6CA48EF8"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66575AC" w14:textId="77777777" w:rsidR="00DC0425" w:rsidRPr="00DC0425" w:rsidRDefault="00DC0425">
            <w:pPr>
              <w:rPr>
                <w:rFonts w:cs="Arial"/>
                <w:b/>
                <w:bCs/>
              </w:rPr>
            </w:pPr>
            <w:r w:rsidRPr="00DC0425">
              <w:rPr>
                <w:rFonts w:cs="Arial"/>
                <w:b/>
                <w:bCs/>
              </w:rPr>
              <w:t xml:space="preserve">Strategic Policy 05: Infrastructure </w:t>
            </w:r>
          </w:p>
        </w:tc>
      </w:tr>
      <w:tr w:rsidR="00DC0425" w14:paraId="4E0DDF3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00DC000" w14:textId="77777777" w:rsidR="00DC0425" w:rsidRDefault="00DC0425">
            <w:pPr>
              <w:rPr>
                <w:rFonts w:cs="Arial"/>
              </w:rPr>
            </w:pPr>
            <w:r>
              <w:rPr>
                <w:rFonts w:cs="Arial"/>
              </w:rPr>
              <w:t xml:space="preserve">CI1 Safeguarding and securing community infrastructure </w:t>
            </w:r>
          </w:p>
        </w:tc>
      </w:tr>
      <w:tr w:rsidR="00DC0425" w14:paraId="640881F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538D6F0" w14:textId="4CB4967D" w:rsidR="00DC0425" w:rsidRDefault="00DC0425">
            <w:pPr>
              <w:rPr>
                <w:rFonts w:cs="Arial"/>
              </w:rPr>
            </w:pPr>
            <w:r>
              <w:rPr>
                <w:rFonts w:cs="Arial"/>
              </w:rPr>
              <w:t xml:space="preserve">CI2 Play and informal recreation </w:t>
            </w:r>
          </w:p>
        </w:tc>
      </w:tr>
      <w:tr w:rsidR="00DC0425" w14:paraId="795872F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56DF4E9" w14:textId="77777777" w:rsidR="00DC0425" w:rsidRDefault="00DC0425">
            <w:pPr>
              <w:rPr>
                <w:rFonts w:cs="Arial"/>
              </w:rPr>
            </w:pPr>
            <w:r>
              <w:rPr>
                <w:rFonts w:cs="Arial"/>
              </w:rPr>
              <w:t xml:space="preserve">CI3 Sport and Leisure </w:t>
            </w:r>
          </w:p>
        </w:tc>
      </w:tr>
      <w:tr w:rsidR="00DC0425" w14:paraId="7DA3C4BC"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13FC90B" w14:textId="1C32700E" w:rsidR="00DC0425" w:rsidRDefault="00DC0425">
            <w:pPr>
              <w:rPr>
                <w:rFonts w:cs="Arial"/>
              </w:rPr>
            </w:pPr>
            <w:r>
              <w:rPr>
                <w:rFonts w:cs="Arial"/>
              </w:rPr>
              <w:t xml:space="preserve">CI4 Digital and communications infrastructure and connectivity </w:t>
            </w:r>
          </w:p>
        </w:tc>
      </w:tr>
      <w:tr w:rsidR="00DC0425" w14:paraId="3B73A2FE"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0EBF5D35" w14:textId="77777777" w:rsidR="00DC0425" w:rsidRDefault="00DC0425">
            <w:pPr>
              <w:rPr>
                <w:rFonts w:cs="Arial"/>
              </w:rPr>
            </w:pPr>
          </w:p>
        </w:tc>
      </w:tr>
      <w:tr w:rsidR="00DC0425" w:rsidRPr="00DC0425" w14:paraId="2963A50C"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5E40B0DB" w14:textId="77777777" w:rsidR="00DC0425" w:rsidRPr="00DC0425" w:rsidRDefault="00DC0425">
            <w:pPr>
              <w:rPr>
                <w:rFonts w:cs="Arial"/>
                <w:b/>
                <w:bCs/>
              </w:rPr>
            </w:pPr>
            <w:r w:rsidRPr="00DC0425">
              <w:rPr>
                <w:rFonts w:cs="Arial"/>
                <w:b/>
                <w:bCs/>
              </w:rPr>
              <w:t>Strategic Policy 06: Green Infrastructure</w:t>
            </w:r>
          </w:p>
        </w:tc>
      </w:tr>
      <w:tr w:rsidR="00DC0425" w14:paraId="0A54708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6EBF971F" w14:textId="12A14BA7" w:rsidR="00DC0425" w:rsidRDefault="00DC0425">
            <w:pPr>
              <w:rPr>
                <w:rFonts w:cs="Arial"/>
              </w:rPr>
            </w:pPr>
            <w:r>
              <w:rPr>
                <w:rFonts w:cs="Arial"/>
              </w:rPr>
              <w:t xml:space="preserve">GI1 Green Belt and MOL </w:t>
            </w:r>
          </w:p>
        </w:tc>
      </w:tr>
      <w:tr w:rsidR="00DC0425" w14:paraId="7A6581F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646D5370" w14:textId="39D08459" w:rsidR="00DC0425" w:rsidRDefault="00DC0425">
            <w:pPr>
              <w:rPr>
                <w:rFonts w:cs="Arial"/>
              </w:rPr>
            </w:pPr>
            <w:r>
              <w:rPr>
                <w:rFonts w:cs="Arial"/>
              </w:rPr>
              <w:t xml:space="preserve">GI2 Open space </w:t>
            </w:r>
          </w:p>
        </w:tc>
      </w:tr>
      <w:tr w:rsidR="00DC0425" w14:paraId="028523B3"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23375857" w14:textId="23791AD6" w:rsidR="00DC0425" w:rsidRDefault="00DC0425">
            <w:pPr>
              <w:rPr>
                <w:rFonts w:cs="Arial"/>
              </w:rPr>
            </w:pPr>
            <w:r>
              <w:rPr>
                <w:rFonts w:cs="Arial"/>
              </w:rPr>
              <w:lastRenderedPageBreak/>
              <w:t xml:space="preserve">GI3 Biodiversity and access to nature </w:t>
            </w:r>
          </w:p>
        </w:tc>
      </w:tr>
      <w:tr w:rsidR="00DC0425" w14:paraId="50252CA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48B73FE7" w14:textId="4B030CCE" w:rsidR="00DC0425" w:rsidRDefault="00DC0425">
            <w:pPr>
              <w:rPr>
                <w:rFonts w:cs="Arial"/>
              </w:rPr>
            </w:pPr>
            <w:r>
              <w:rPr>
                <w:rFonts w:cs="Arial"/>
              </w:rPr>
              <w:t xml:space="preserve">GI4 Urban greening and trees </w:t>
            </w:r>
          </w:p>
        </w:tc>
      </w:tr>
      <w:tr w:rsidR="00DC0425" w14:paraId="4A394DD3"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3D302511" w14:textId="101A8837" w:rsidR="00DC0425" w:rsidRDefault="00DC0425">
            <w:pPr>
              <w:rPr>
                <w:rFonts w:cs="Arial"/>
              </w:rPr>
            </w:pPr>
            <w:r>
              <w:rPr>
                <w:rFonts w:cs="Arial"/>
              </w:rPr>
              <w:t xml:space="preserve">GI5 Food growing </w:t>
            </w:r>
          </w:p>
        </w:tc>
      </w:tr>
      <w:tr w:rsidR="00DC0425" w14:paraId="70B4D3F0"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14:paraId="136B807B" w14:textId="77777777" w:rsidR="00DC0425" w:rsidRDefault="00DC0425">
            <w:pPr>
              <w:rPr>
                <w:rFonts w:cs="Arial"/>
              </w:rPr>
            </w:pPr>
          </w:p>
        </w:tc>
      </w:tr>
      <w:tr w:rsidR="00DC0425" w:rsidRPr="00DC0425" w14:paraId="41AD1389"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4339C71" w14:textId="77777777" w:rsidR="00DC0425" w:rsidRPr="00DC0425" w:rsidRDefault="00DC0425">
            <w:pPr>
              <w:rPr>
                <w:rFonts w:cs="Arial"/>
                <w:b/>
                <w:bCs/>
              </w:rPr>
            </w:pPr>
            <w:r w:rsidRPr="00DC0425">
              <w:rPr>
                <w:rFonts w:cs="Arial"/>
                <w:b/>
                <w:bCs/>
              </w:rPr>
              <w:t>Strategic Policy 07: Climate and Nature</w:t>
            </w:r>
          </w:p>
        </w:tc>
      </w:tr>
      <w:tr w:rsidR="00DC0425" w14:paraId="3E2FFAD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7D33EA5" w14:textId="46847FEB" w:rsidR="00DC0425" w:rsidRDefault="00DC0425">
            <w:pPr>
              <w:rPr>
                <w:rFonts w:cs="Arial"/>
              </w:rPr>
            </w:pPr>
            <w:r>
              <w:rPr>
                <w:rFonts w:cs="Arial"/>
              </w:rPr>
              <w:t xml:space="preserve">CN1 Responding to the climate and nature emergency </w:t>
            </w:r>
          </w:p>
        </w:tc>
      </w:tr>
      <w:tr w:rsidR="00DC0425" w14:paraId="2039A6B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1B80AF0" w14:textId="7652364F" w:rsidR="00DC0425" w:rsidRDefault="00DC0425">
            <w:pPr>
              <w:rPr>
                <w:rFonts w:cs="Arial"/>
              </w:rPr>
            </w:pPr>
            <w:bookmarkStart w:id="0" w:name="_Hlk135404306"/>
            <w:r>
              <w:rPr>
                <w:rFonts w:cs="Arial"/>
              </w:rPr>
              <w:t xml:space="preserve">CN2 Sustainable design </w:t>
            </w:r>
            <w:bookmarkEnd w:id="0"/>
          </w:p>
        </w:tc>
      </w:tr>
      <w:tr w:rsidR="00DC0425" w14:paraId="7C33B3B1"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EBD0AFA" w14:textId="27D1E36D" w:rsidR="00DC0425" w:rsidRDefault="00DC0425">
            <w:pPr>
              <w:rPr>
                <w:rFonts w:cs="Arial"/>
              </w:rPr>
            </w:pPr>
            <w:bookmarkStart w:id="1" w:name="_Hlk135743230"/>
            <w:bookmarkStart w:id="2" w:name="_Hlk136329356"/>
            <w:r>
              <w:rPr>
                <w:rFonts w:cs="Arial"/>
              </w:rPr>
              <w:t xml:space="preserve">CN3 Minimising greenhouse gas emissions </w:t>
            </w:r>
          </w:p>
        </w:tc>
        <w:bookmarkEnd w:id="1"/>
      </w:tr>
      <w:tr w:rsidR="00DC0425" w14:paraId="51614EE7"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6818569" w14:textId="51BC43E0" w:rsidR="00DC0425" w:rsidRDefault="00DC0425">
            <w:pPr>
              <w:rPr>
                <w:rFonts w:cs="Arial"/>
              </w:rPr>
            </w:pPr>
            <w:r>
              <w:rPr>
                <w:rFonts w:cs="Arial"/>
              </w:rPr>
              <w:t xml:space="preserve">CN4 Energy infrastructure </w:t>
            </w:r>
          </w:p>
        </w:tc>
        <w:bookmarkEnd w:id="2"/>
      </w:tr>
      <w:tr w:rsidR="00DC0425" w14:paraId="1848D4BD"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D1CDC12" w14:textId="1996AF16" w:rsidR="00DC0425" w:rsidRDefault="00DC0425">
            <w:pPr>
              <w:rPr>
                <w:rFonts w:cs="Arial"/>
              </w:rPr>
            </w:pPr>
            <w:r w:rsidRPr="00FA3E77">
              <w:rPr>
                <w:rFonts w:cs="Arial"/>
              </w:rPr>
              <w:t>CN</w:t>
            </w:r>
            <w:r w:rsidR="00AE5081" w:rsidRPr="00FA3E77">
              <w:rPr>
                <w:rFonts w:cs="Arial"/>
              </w:rPr>
              <w:t>5</w:t>
            </w:r>
            <w:r>
              <w:rPr>
                <w:rFonts w:cs="Arial"/>
              </w:rPr>
              <w:t xml:space="preserve"> Reducing flood risk </w:t>
            </w:r>
          </w:p>
        </w:tc>
      </w:tr>
      <w:tr w:rsidR="00DC0425" w14:paraId="314141FD"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D161DB1" w14:textId="375656C0" w:rsidR="00DC0425" w:rsidRDefault="00DC0425">
            <w:pPr>
              <w:rPr>
                <w:rFonts w:cs="Arial"/>
              </w:rPr>
            </w:pPr>
            <w:r w:rsidRPr="00FA3E77">
              <w:rPr>
                <w:rFonts w:cs="Arial"/>
              </w:rPr>
              <w:t>CN</w:t>
            </w:r>
            <w:r w:rsidR="00AE5081" w:rsidRPr="00FA3E77">
              <w:rPr>
                <w:rFonts w:cs="Arial"/>
              </w:rPr>
              <w:t>6</w:t>
            </w:r>
            <w:r>
              <w:rPr>
                <w:rFonts w:cs="Arial"/>
              </w:rPr>
              <w:t xml:space="preserve"> Sustainable drainage </w:t>
            </w:r>
          </w:p>
        </w:tc>
      </w:tr>
      <w:tr w:rsidR="00DC0425" w14:paraId="4203DB5E"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F8D5DFA" w14:textId="7E9A18C0" w:rsidR="00DC0425" w:rsidRDefault="00DC0425">
            <w:pPr>
              <w:rPr>
                <w:rFonts w:cs="Arial"/>
              </w:rPr>
            </w:pPr>
            <w:bookmarkStart w:id="3" w:name="_Hlk135923145"/>
            <w:r w:rsidRPr="00FA3E77">
              <w:rPr>
                <w:rFonts w:cs="Arial"/>
              </w:rPr>
              <w:t>CN</w:t>
            </w:r>
            <w:r w:rsidR="00AE5081" w:rsidRPr="00FA3E77">
              <w:rPr>
                <w:rFonts w:cs="Arial"/>
              </w:rPr>
              <w:t>7</w:t>
            </w:r>
            <w:r>
              <w:rPr>
                <w:rFonts w:cs="Arial"/>
              </w:rPr>
              <w:t xml:space="preserve"> Water management (pollution) </w:t>
            </w:r>
            <w:bookmarkEnd w:id="3"/>
          </w:p>
        </w:tc>
      </w:tr>
      <w:tr w:rsidR="00DC0425" w14:paraId="56AF8EAB"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tcPr>
          <w:p w14:paraId="29037506" w14:textId="77777777" w:rsidR="00DC0425" w:rsidRDefault="00DC0425">
            <w:pPr>
              <w:rPr>
                <w:rFonts w:cs="Arial"/>
              </w:rPr>
            </w:pPr>
          </w:p>
        </w:tc>
      </w:tr>
      <w:tr w:rsidR="00DC0425" w:rsidRPr="00DC0425" w14:paraId="5246A5B8"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8012A69" w14:textId="77777777" w:rsidR="00DC0425" w:rsidRPr="00DC0425" w:rsidRDefault="00DC0425">
            <w:pPr>
              <w:rPr>
                <w:rFonts w:cs="Arial"/>
                <w:b/>
                <w:bCs/>
              </w:rPr>
            </w:pPr>
            <w:r w:rsidRPr="00DC0425">
              <w:rPr>
                <w:rFonts w:cs="Arial"/>
                <w:b/>
                <w:bCs/>
              </w:rPr>
              <w:t>Strategic Policy: 08 Managing waste and supporting the circular economy</w:t>
            </w:r>
          </w:p>
        </w:tc>
      </w:tr>
      <w:tr w:rsidR="00DC0425" w14:paraId="78AFB51A"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B506DCA" w14:textId="2EFFB687" w:rsidR="00DC0425" w:rsidRDefault="00DC0425">
            <w:pPr>
              <w:rPr>
                <w:rFonts w:cs="Arial"/>
              </w:rPr>
            </w:pPr>
            <w:bookmarkStart w:id="4" w:name="_Hlk135991488"/>
            <w:bookmarkStart w:id="5" w:name="_Hlk136329420"/>
            <w:r w:rsidRPr="00FA3E77">
              <w:rPr>
                <w:rFonts w:cs="Arial"/>
              </w:rPr>
              <w:t>CN</w:t>
            </w:r>
            <w:r w:rsidR="00AE5081" w:rsidRPr="00FA3E77">
              <w:rPr>
                <w:rFonts w:cs="Arial"/>
              </w:rPr>
              <w:t>8</w:t>
            </w:r>
            <w:r>
              <w:rPr>
                <w:rFonts w:cs="Arial"/>
              </w:rPr>
              <w:t xml:space="preserve"> Reducing and managing waste </w:t>
            </w:r>
            <w:bookmarkEnd w:id="4"/>
          </w:p>
        </w:tc>
      </w:tr>
      <w:tr w:rsidR="00DC0425" w14:paraId="4973F992"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7C396EB" w14:textId="390C72BE" w:rsidR="00DC0425" w:rsidRDefault="00DC0425">
            <w:pPr>
              <w:rPr>
                <w:rFonts w:cs="Arial"/>
              </w:rPr>
            </w:pPr>
            <w:r w:rsidRPr="00FA3E77">
              <w:rPr>
                <w:rFonts w:cs="Arial"/>
              </w:rPr>
              <w:t>CN</w:t>
            </w:r>
            <w:r w:rsidR="00AE5081" w:rsidRPr="00FA3E77">
              <w:rPr>
                <w:rFonts w:cs="Arial"/>
              </w:rPr>
              <w:t>9</w:t>
            </w:r>
            <w:r>
              <w:rPr>
                <w:rFonts w:cs="Arial"/>
              </w:rPr>
              <w:t xml:space="preserve"> Design to support the circular economy </w:t>
            </w:r>
          </w:p>
        </w:tc>
        <w:bookmarkEnd w:id="5"/>
      </w:tr>
      <w:tr w:rsidR="00DC0425" w14:paraId="61A8B0B6"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13A3AF9" w14:textId="77777777" w:rsidR="00DC0425" w:rsidRDefault="00DC0425">
            <w:pPr>
              <w:rPr>
                <w:rFonts w:cs="Arial"/>
              </w:rPr>
            </w:pPr>
          </w:p>
        </w:tc>
      </w:tr>
      <w:tr w:rsidR="00DC0425" w:rsidRPr="00DC0425" w14:paraId="4384D8B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F902324" w14:textId="77777777" w:rsidR="00DC0425" w:rsidRPr="00DC0425" w:rsidRDefault="00DC0425">
            <w:pPr>
              <w:rPr>
                <w:rFonts w:cs="Arial"/>
                <w:b/>
                <w:bCs/>
              </w:rPr>
            </w:pPr>
            <w:r w:rsidRPr="00DC0425">
              <w:rPr>
                <w:rFonts w:cs="Arial"/>
                <w:b/>
                <w:bCs/>
              </w:rPr>
              <w:t xml:space="preserve">Strategic Policy 09: Movement </w:t>
            </w:r>
          </w:p>
        </w:tc>
      </w:tr>
      <w:tr w:rsidR="00DC0425" w14:paraId="7A4FE7D6"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A7A68C0" w14:textId="524C807B" w:rsidR="00DC0425" w:rsidRDefault="00DC0425">
            <w:pPr>
              <w:rPr>
                <w:rFonts w:cs="Arial"/>
              </w:rPr>
            </w:pPr>
            <w:r>
              <w:rPr>
                <w:rFonts w:cs="Arial"/>
              </w:rPr>
              <w:t xml:space="preserve">M1 Sustainable transport and movement </w:t>
            </w:r>
          </w:p>
        </w:tc>
      </w:tr>
      <w:tr w:rsidR="00DC0425" w14:paraId="0A2CE577"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67DEDCF" w14:textId="490C8F15" w:rsidR="00DC0425" w:rsidRDefault="00DC0425">
            <w:pPr>
              <w:rPr>
                <w:rFonts w:cs="Arial"/>
              </w:rPr>
            </w:pPr>
            <w:r>
              <w:rPr>
                <w:rFonts w:cs="Arial"/>
              </w:rPr>
              <w:t xml:space="preserve">M2 </w:t>
            </w:r>
            <w:r w:rsidR="00F70F0F">
              <w:rPr>
                <w:rFonts w:cs="Arial"/>
              </w:rPr>
              <w:t xml:space="preserve">Active Travel </w:t>
            </w:r>
            <w:r>
              <w:rPr>
                <w:rFonts w:cs="Arial"/>
              </w:rPr>
              <w:t>(Walking cycling/modal shift)</w:t>
            </w:r>
          </w:p>
        </w:tc>
      </w:tr>
      <w:tr w:rsidR="00DC0425" w14:paraId="5E0621A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76BBF53" w14:textId="77777777" w:rsidR="00DC0425" w:rsidRDefault="00DC0425">
            <w:pPr>
              <w:rPr>
                <w:rFonts w:cs="Arial"/>
              </w:rPr>
            </w:pPr>
            <w:r>
              <w:rPr>
                <w:rFonts w:cs="Arial"/>
              </w:rPr>
              <w:t xml:space="preserve">M3 Parking </w:t>
            </w:r>
          </w:p>
        </w:tc>
      </w:tr>
      <w:tr w:rsidR="00DC0425" w14:paraId="34360E95"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C45AE14" w14:textId="58F4F94B" w:rsidR="00DC0425" w:rsidRDefault="00DC0425">
            <w:pPr>
              <w:rPr>
                <w:rFonts w:cs="Arial"/>
              </w:rPr>
            </w:pPr>
            <w:r>
              <w:rPr>
                <w:rFonts w:cs="Arial"/>
              </w:rPr>
              <w:t xml:space="preserve">M4 Deliveries, </w:t>
            </w:r>
            <w:proofErr w:type="gramStart"/>
            <w:r>
              <w:rPr>
                <w:rFonts w:cs="Arial"/>
              </w:rPr>
              <w:t>servicing</w:t>
            </w:r>
            <w:proofErr w:type="gramEnd"/>
            <w:r>
              <w:rPr>
                <w:rFonts w:cs="Arial"/>
              </w:rPr>
              <w:t xml:space="preserve"> and construction </w:t>
            </w:r>
          </w:p>
        </w:tc>
      </w:tr>
      <w:tr w:rsidR="00DC0425" w14:paraId="67B40B4F"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tcPr>
          <w:p w14:paraId="18DA282C" w14:textId="77777777" w:rsidR="00DC0425" w:rsidRDefault="00DC0425">
            <w:pPr>
              <w:rPr>
                <w:rFonts w:cs="Arial"/>
              </w:rPr>
            </w:pPr>
          </w:p>
        </w:tc>
      </w:tr>
      <w:tr w:rsidR="00DC0425" w14:paraId="426173B4"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tcPr>
          <w:p w14:paraId="0122B22A" w14:textId="77777777" w:rsidR="00DC0425" w:rsidRDefault="00DC0425">
            <w:pPr>
              <w:rPr>
                <w:rFonts w:cs="Arial"/>
              </w:rPr>
            </w:pPr>
          </w:p>
        </w:tc>
      </w:tr>
      <w:tr w:rsidR="00DC0425" w:rsidRPr="00DC0425" w14:paraId="662F0CAE"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FA0A941" w14:textId="77777777" w:rsidR="00DC0425" w:rsidRPr="00DC0425" w:rsidRDefault="00DC0425">
            <w:pPr>
              <w:rPr>
                <w:rFonts w:cs="Arial"/>
                <w:b/>
                <w:bCs/>
              </w:rPr>
            </w:pPr>
            <w:r w:rsidRPr="00DC0425">
              <w:rPr>
                <w:rFonts w:cs="Arial"/>
                <w:b/>
                <w:bCs/>
              </w:rPr>
              <w:t>Appendix 1: Glossary</w:t>
            </w:r>
          </w:p>
        </w:tc>
      </w:tr>
      <w:tr w:rsidR="00DC0425" w:rsidRPr="00DC0425" w14:paraId="6A74727C"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6066586" w14:textId="77777777" w:rsidR="00DC0425" w:rsidRPr="00DC0425" w:rsidRDefault="00DC0425">
            <w:pPr>
              <w:rPr>
                <w:rFonts w:cs="Arial"/>
                <w:b/>
                <w:bCs/>
              </w:rPr>
            </w:pPr>
            <w:r w:rsidRPr="00DC0425">
              <w:rPr>
                <w:rFonts w:cs="Arial"/>
                <w:b/>
                <w:bCs/>
              </w:rPr>
              <w:t xml:space="preserve">Appendix 2: Site Allocations </w:t>
            </w:r>
          </w:p>
        </w:tc>
      </w:tr>
      <w:tr w:rsidR="00DC0425" w:rsidRPr="00DC0425" w14:paraId="43F8C39B"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058F55D" w14:textId="77777777" w:rsidR="00DC0425" w:rsidRPr="00DC0425" w:rsidRDefault="00DC0425">
            <w:pPr>
              <w:rPr>
                <w:rFonts w:cs="Arial"/>
                <w:b/>
                <w:bCs/>
              </w:rPr>
            </w:pPr>
            <w:r w:rsidRPr="00DC0425">
              <w:rPr>
                <w:rFonts w:cs="Arial"/>
                <w:b/>
                <w:bCs/>
              </w:rPr>
              <w:t xml:space="preserve">Appendix 3: Monitoring Framework </w:t>
            </w:r>
          </w:p>
        </w:tc>
      </w:tr>
      <w:tr w:rsidR="00DC0425" w:rsidRPr="00DC0425" w14:paraId="7F9689B8"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974E11C" w14:textId="77777777" w:rsidR="00DC0425" w:rsidRPr="00DC0425" w:rsidRDefault="00DC0425">
            <w:pPr>
              <w:rPr>
                <w:rFonts w:cs="Arial"/>
                <w:b/>
                <w:bCs/>
              </w:rPr>
            </w:pPr>
            <w:r w:rsidRPr="00DC0425">
              <w:rPr>
                <w:rFonts w:cs="Arial"/>
                <w:b/>
                <w:bCs/>
              </w:rPr>
              <w:t xml:space="preserve">Appendix 4: Housing Trajectory </w:t>
            </w:r>
          </w:p>
        </w:tc>
      </w:tr>
      <w:tr w:rsidR="00DC0425" w:rsidRPr="00DC0425" w14:paraId="3B3508B3" w14:textId="77777777" w:rsidTr="00DC0425">
        <w:trPr>
          <w:trHeight w:val="49"/>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D2E4A42" w14:textId="77777777" w:rsidR="00DC0425" w:rsidRPr="00DC0425" w:rsidRDefault="00DC0425">
            <w:pPr>
              <w:rPr>
                <w:rFonts w:cs="Arial"/>
                <w:b/>
                <w:bCs/>
              </w:rPr>
            </w:pPr>
            <w:r w:rsidRPr="00DC0425">
              <w:rPr>
                <w:rFonts w:cs="Arial"/>
                <w:b/>
                <w:bCs/>
              </w:rPr>
              <w:t xml:space="preserve">Appendix 5: Changes to Policy Maps </w:t>
            </w:r>
          </w:p>
        </w:tc>
      </w:tr>
    </w:tbl>
    <w:p w14:paraId="74FD05AC" w14:textId="77777777" w:rsidR="00DC0425" w:rsidRDefault="00DC0425" w:rsidP="009D1E65">
      <w:pPr>
        <w:rPr>
          <w:b/>
          <w:bCs/>
          <w:sz w:val="28"/>
        </w:rPr>
      </w:pPr>
    </w:p>
    <w:p w14:paraId="72511355" w14:textId="77777777" w:rsidR="009D1E65" w:rsidRDefault="009D1E65" w:rsidP="009D1E65">
      <w:pPr>
        <w:rPr>
          <w:b/>
          <w:bCs/>
          <w:sz w:val="28"/>
        </w:rPr>
      </w:pPr>
    </w:p>
    <w:p w14:paraId="0C7D4A1B" w14:textId="77777777" w:rsidR="009D1E65" w:rsidRDefault="009D1E65">
      <w:pPr>
        <w:rPr>
          <w:b/>
          <w:bCs/>
          <w:sz w:val="28"/>
        </w:rPr>
      </w:pPr>
      <w:r>
        <w:rPr>
          <w:b/>
          <w:bCs/>
          <w:sz w:val="28"/>
        </w:rPr>
        <w:br w:type="page"/>
      </w:r>
    </w:p>
    <w:p w14:paraId="700CE4B4" w14:textId="2B5F9253" w:rsidR="009D1E65" w:rsidRPr="009D1E65" w:rsidRDefault="009D1E65" w:rsidP="009D1E65">
      <w:pPr>
        <w:rPr>
          <w:b/>
          <w:bCs/>
          <w:sz w:val="28"/>
        </w:rPr>
      </w:pPr>
      <w:r w:rsidRPr="009D1E65">
        <w:rPr>
          <w:b/>
          <w:bCs/>
          <w:sz w:val="28"/>
        </w:rPr>
        <w:lastRenderedPageBreak/>
        <w:t>Appendix 2 – Draft Borough Profile</w:t>
      </w:r>
    </w:p>
    <w:p w14:paraId="6F716BBC" w14:textId="77777777" w:rsidR="009D1E65" w:rsidRDefault="009D1E65" w:rsidP="009D1E65">
      <w:pPr>
        <w:rPr>
          <w:b/>
          <w:bCs/>
          <w:sz w:val="28"/>
        </w:rPr>
      </w:pPr>
    </w:p>
    <w:tbl>
      <w:tblPr>
        <w:tblStyle w:val="TableGrid"/>
        <w:tblW w:w="0" w:type="auto"/>
        <w:tblLook w:val="04A0" w:firstRow="1" w:lastRow="0" w:firstColumn="1" w:lastColumn="0" w:noHBand="0" w:noVBand="1"/>
      </w:tblPr>
      <w:tblGrid>
        <w:gridCol w:w="2113"/>
        <w:gridCol w:w="6186"/>
      </w:tblGrid>
      <w:tr w:rsidR="00EE661C" w:rsidRPr="00AE1F0D" w14:paraId="43395F0D" w14:textId="77777777" w:rsidTr="7F8EF98D">
        <w:trPr>
          <w:trHeight w:val="161"/>
        </w:trPr>
        <w:tc>
          <w:tcPr>
            <w:tcW w:w="2122" w:type="dxa"/>
            <w:shd w:val="clear" w:color="auto" w:fill="D9D9D9" w:themeFill="background1" w:themeFillShade="D9"/>
          </w:tcPr>
          <w:p w14:paraId="721B2F27" w14:textId="77777777" w:rsidR="00C22686" w:rsidRPr="0047258F" w:rsidRDefault="00C22686">
            <w:pPr>
              <w:rPr>
                <w:rFonts w:cs="Arial"/>
                <w:b/>
                <w:bCs/>
                <w:szCs w:val="24"/>
              </w:rPr>
            </w:pPr>
            <w:r w:rsidRPr="0047258F">
              <w:rPr>
                <w:rFonts w:cs="Arial"/>
                <w:b/>
                <w:bCs/>
                <w:szCs w:val="24"/>
              </w:rPr>
              <w:t>People</w:t>
            </w:r>
          </w:p>
          <w:p w14:paraId="17ECCD54" w14:textId="77777777" w:rsidR="00C22686" w:rsidRPr="00FA3E77" w:rsidRDefault="00C22686">
            <w:pPr>
              <w:rPr>
                <w:rFonts w:cs="Arial"/>
                <w:sz w:val="20"/>
              </w:rPr>
            </w:pPr>
            <w:r w:rsidRPr="00FA3E77">
              <w:rPr>
                <w:rFonts w:cs="Arial"/>
                <w:sz w:val="20"/>
              </w:rPr>
              <w:t>(Census data 2021)</w:t>
            </w:r>
          </w:p>
        </w:tc>
        <w:tc>
          <w:tcPr>
            <w:tcW w:w="6177" w:type="dxa"/>
            <w:shd w:val="clear" w:color="auto" w:fill="D9D9D9" w:themeFill="background1" w:themeFillShade="D9"/>
          </w:tcPr>
          <w:p w14:paraId="728DC131" w14:textId="77777777" w:rsidR="00C22686" w:rsidRPr="0047258F" w:rsidRDefault="00C22686">
            <w:pPr>
              <w:rPr>
                <w:rFonts w:cs="Arial"/>
                <w:szCs w:val="24"/>
              </w:rPr>
            </w:pPr>
          </w:p>
        </w:tc>
      </w:tr>
      <w:tr w:rsidR="00EE661C" w:rsidRPr="00AE1F0D" w14:paraId="1BBD54FE" w14:textId="77777777" w:rsidTr="7F8EF98D">
        <w:trPr>
          <w:trHeight w:val="785"/>
        </w:trPr>
        <w:tc>
          <w:tcPr>
            <w:tcW w:w="2122" w:type="dxa"/>
          </w:tcPr>
          <w:p w14:paraId="0B003F15" w14:textId="77777777" w:rsidR="00C22686" w:rsidRPr="0047258F" w:rsidRDefault="00C22686">
            <w:pPr>
              <w:rPr>
                <w:rFonts w:cs="Arial"/>
                <w:szCs w:val="24"/>
              </w:rPr>
            </w:pPr>
            <w:r w:rsidRPr="0047258F">
              <w:rPr>
                <w:rFonts w:cs="Arial"/>
                <w:szCs w:val="24"/>
              </w:rPr>
              <w:t xml:space="preserve">Population </w:t>
            </w:r>
          </w:p>
        </w:tc>
        <w:tc>
          <w:tcPr>
            <w:tcW w:w="6177" w:type="dxa"/>
          </w:tcPr>
          <w:p w14:paraId="2380B570" w14:textId="77777777" w:rsidR="00C22686" w:rsidRPr="0047258F" w:rsidRDefault="00C22686">
            <w:pPr>
              <w:rPr>
                <w:rFonts w:cs="Arial"/>
                <w:szCs w:val="24"/>
              </w:rPr>
            </w:pPr>
            <w:r w:rsidRPr="0047258F">
              <w:rPr>
                <w:rFonts w:cs="Arial"/>
                <w:szCs w:val="24"/>
              </w:rPr>
              <w:t>Harrow has a resident population of approximately 261,200 In the ten years between 2011 and 2021 the borough saw a 9.3% increase in population compared to the London average of 7.7%.</w:t>
            </w:r>
          </w:p>
        </w:tc>
      </w:tr>
      <w:tr w:rsidR="00EE661C" w:rsidRPr="00AE1F0D" w14:paraId="4F7AAB54" w14:textId="77777777" w:rsidTr="7F8EF98D">
        <w:trPr>
          <w:trHeight w:val="916"/>
        </w:trPr>
        <w:tc>
          <w:tcPr>
            <w:tcW w:w="2122" w:type="dxa"/>
          </w:tcPr>
          <w:p w14:paraId="49725CCE" w14:textId="77777777" w:rsidR="00C22686" w:rsidRPr="0047258F" w:rsidRDefault="00C22686">
            <w:pPr>
              <w:rPr>
                <w:rFonts w:cs="Arial"/>
                <w:szCs w:val="24"/>
              </w:rPr>
            </w:pPr>
            <w:bookmarkStart w:id="6" w:name="_Hlk135142962"/>
            <w:r w:rsidRPr="0047258F">
              <w:rPr>
                <w:rFonts w:cs="Arial"/>
                <w:szCs w:val="24"/>
              </w:rPr>
              <w:t>Age profile</w:t>
            </w:r>
          </w:p>
        </w:tc>
        <w:tc>
          <w:tcPr>
            <w:tcW w:w="6177" w:type="dxa"/>
          </w:tcPr>
          <w:p w14:paraId="435F1E15" w14:textId="77777777" w:rsidR="00C22686" w:rsidRPr="0047258F" w:rsidRDefault="00C22686">
            <w:pPr>
              <w:rPr>
                <w:rFonts w:cs="Arial"/>
                <w:szCs w:val="24"/>
              </w:rPr>
            </w:pPr>
            <w:r w:rsidRPr="0047258F">
              <w:rPr>
                <w:rFonts w:cs="Arial"/>
                <w:szCs w:val="24"/>
              </w:rPr>
              <w:t xml:space="preserve">Harrow has fewer people in the </w:t>
            </w:r>
            <w:proofErr w:type="gramStart"/>
            <w:r w:rsidRPr="0047258F">
              <w:rPr>
                <w:rFonts w:cs="Arial"/>
                <w:szCs w:val="24"/>
              </w:rPr>
              <w:t>20-35 year</w:t>
            </w:r>
            <w:proofErr w:type="gramEnd"/>
            <w:r w:rsidRPr="0047258F">
              <w:rPr>
                <w:rFonts w:cs="Arial"/>
                <w:szCs w:val="24"/>
              </w:rPr>
              <w:t xml:space="preserve"> age brackets than the London average </w:t>
            </w:r>
          </w:p>
          <w:p w14:paraId="3311DDE7" w14:textId="77777777" w:rsidR="00C22686" w:rsidRPr="0047258F" w:rsidRDefault="00C22686">
            <w:pPr>
              <w:rPr>
                <w:rFonts w:cs="Arial"/>
                <w:szCs w:val="24"/>
              </w:rPr>
            </w:pPr>
            <w:r w:rsidRPr="0047258F">
              <w:rPr>
                <w:rFonts w:cs="Arial"/>
                <w:szCs w:val="24"/>
              </w:rPr>
              <w:t>Harrow has slightly more younger people (&lt;19 years) and more older people (60+) than the London average.</w:t>
            </w:r>
          </w:p>
        </w:tc>
      </w:tr>
      <w:tr w:rsidR="00EE661C" w:rsidRPr="00AE1F0D" w14:paraId="12CEF567" w14:textId="77777777" w:rsidTr="7F8EF98D">
        <w:trPr>
          <w:trHeight w:val="523"/>
        </w:trPr>
        <w:tc>
          <w:tcPr>
            <w:tcW w:w="2122" w:type="dxa"/>
          </w:tcPr>
          <w:p w14:paraId="300B8923" w14:textId="77777777" w:rsidR="00C22686" w:rsidRPr="0047258F" w:rsidRDefault="00C22686">
            <w:pPr>
              <w:rPr>
                <w:rFonts w:cs="Arial"/>
                <w:szCs w:val="24"/>
              </w:rPr>
            </w:pPr>
            <w:r w:rsidRPr="0047258F">
              <w:rPr>
                <w:rFonts w:cs="Arial"/>
                <w:szCs w:val="24"/>
              </w:rPr>
              <w:t>Marital Status</w:t>
            </w:r>
          </w:p>
        </w:tc>
        <w:tc>
          <w:tcPr>
            <w:tcW w:w="6177" w:type="dxa"/>
          </w:tcPr>
          <w:p w14:paraId="4598D277" w14:textId="77777777" w:rsidR="00C22686" w:rsidRPr="0047258F" w:rsidRDefault="00C22686">
            <w:pPr>
              <w:rPr>
                <w:rFonts w:cs="Arial"/>
                <w:szCs w:val="24"/>
              </w:rPr>
            </w:pPr>
            <w:r w:rsidRPr="0047258F">
              <w:rPr>
                <w:rFonts w:cs="Arial"/>
                <w:szCs w:val="24"/>
              </w:rPr>
              <w:t>Harrow has a higher proportion of people married or in a civil partnership compared to the London average</w:t>
            </w:r>
          </w:p>
        </w:tc>
      </w:tr>
      <w:tr w:rsidR="00EE661C" w:rsidRPr="00AE1F0D" w14:paraId="6708CF04" w14:textId="77777777" w:rsidTr="7F8EF98D">
        <w:trPr>
          <w:trHeight w:val="785"/>
        </w:trPr>
        <w:tc>
          <w:tcPr>
            <w:tcW w:w="2122" w:type="dxa"/>
          </w:tcPr>
          <w:p w14:paraId="28A91F8D" w14:textId="77777777" w:rsidR="00C22686" w:rsidRPr="0047258F" w:rsidRDefault="00C22686">
            <w:pPr>
              <w:rPr>
                <w:rFonts w:cs="Arial"/>
                <w:szCs w:val="24"/>
              </w:rPr>
            </w:pPr>
            <w:r w:rsidRPr="0047258F">
              <w:rPr>
                <w:rFonts w:cs="Arial"/>
                <w:szCs w:val="24"/>
              </w:rPr>
              <w:t xml:space="preserve">Country of Birth </w:t>
            </w:r>
          </w:p>
        </w:tc>
        <w:tc>
          <w:tcPr>
            <w:tcW w:w="6177" w:type="dxa"/>
          </w:tcPr>
          <w:p w14:paraId="7B2C215C" w14:textId="77777777" w:rsidR="00C22686" w:rsidRPr="0047258F" w:rsidRDefault="00C22686">
            <w:pPr>
              <w:rPr>
                <w:rFonts w:cs="Arial"/>
                <w:szCs w:val="24"/>
              </w:rPr>
            </w:pPr>
            <w:r w:rsidRPr="0047258F">
              <w:rPr>
                <w:rFonts w:cs="Arial"/>
                <w:szCs w:val="24"/>
              </w:rPr>
              <w:t>There are a significantly higher proportion of Harrow residents born outside the UK compared with London averages, highlighting higher than average levels of diversity.</w:t>
            </w:r>
          </w:p>
        </w:tc>
      </w:tr>
      <w:tr w:rsidR="00EE661C" w:rsidRPr="00AE1F0D" w14:paraId="4A0F9D53" w14:textId="77777777" w:rsidTr="7F8EF98D">
        <w:trPr>
          <w:trHeight w:val="654"/>
        </w:trPr>
        <w:tc>
          <w:tcPr>
            <w:tcW w:w="2122" w:type="dxa"/>
          </w:tcPr>
          <w:p w14:paraId="57FAAB63" w14:textId="77777777" w:rsidR="00C22686" w:rsidRPr="0047258F" w:rsidRDefault="00C22686">
            <w:pPr>
              <w:rPr>
                <w:rFonts w:cs="Arial"/>
                <w:szCs w:val="24"/>
              </w:rPr>
            </w:pPr>
            <w:r w:rsidRPr="0047258F">
              <w:rPr>
                <w:rFonts w:cs="Arial"/>
                <w:szCs w:val="24"/>
              </w:rPr>
              <w:t>Ethnic Background</w:t>
            </w:r>
          </w:p>
        </w:tc>
        <w:tc>
          <w:tcPr>
            <w:tcW w:w="6177" w:type="dxa"/>
          </w:tcPr>
          <w:p w14:paraId="468DD420" w14:textId="77777777" w:rsidR="00C22686" w:rsidRPr="0047258F" w:rsidRDefault="00C22686">
            <w:pPr>
              <w:rPr>
                <w:rFonts w:cs="Arial"/>
                <w:szCs w:val="24"/>
              </w:rPr>
            </w:pPr>
            <w:r w:rsidRPr="0047258F">
              <w:rPr>
                <w:rFonts w:cs="Arial"/>
                <w:szCs w:val="24"/>
              </w:rPr>
              <w:t xml:space="preserve">There are a significantly higher proportion of Asian, Asian </w:t>
            </w:r>
            <w:proofErr w:type="gramStart"/>
            <w:r w:rsidRPr="0047258F">
              <w:rPr>
                <w:rFonts w:cs="Arial"/>
                <w:szCs w:val="24"/>
              </w:rPr>
              <w:t>British</w:t>
            </w:r>
            <w:proofErr w:type="gramEnd"/>
            <w:r w:rsidRPr="0047258F">
              <w:rPr>
                <w:rFonts w:cs="Arial"/>
                <w:szCs w:val="24"/>
              </w:rPr>
              <w:t xml:space="preserve"> or Asian Welsh residents in the borough compared with London averages. </w:t>
            </w:r>
          </w:p>
        </w:tc>
      </w:tr>
      <w:tr w:rsidR="00EE661C" w:rsidRPr="00AE1F0D" w14:paraId="2FAAC214" w14:textId="77777777" w:rsidTr="7F8EF98D">
        <w:trPr>
          <w:trHeight w:val="785"/>
        </w:trPr>
        <w:tc>
          <w:tcPr>
            <w:tcW w:w="2122" w:type="dxa"/>
          </w:tcPr>
          <w:p w14:paraId="541360DA" w14:textId="77777777" w:rsidR="00C22686" w:rsidRPr="0047258F" w:rsidRDefault="00C22686">
            <w:pPr>
              <w:rPr>
                <w:rFonts w:cs="Arial"/>
                <w:szCs w:val="24"/>
              </w:rPr>
            </w:pPr>
            <w:r w:rsidRPr="0047258F">
              <w:rPr>
                <w:rFonts w:cs="Arial"/>
                <w:szCs w:val="24"/>
              </w:rPr>
              <w:t>Ethnic Background</w:t>
            </w:r>
          </w:p>
        </w:tc>
        <w:tc>
          <w:tcPr>
            <w:tcW w:w="6177" w:type="dxa"/>
          </w:tcPr>
          <w:p w14:paraId="06777406" w14:textId="77777777" w:rsidR="00C22686" w:rsidRPr="0047258F" w:rsidRDefault="00C22686">
            <w:pPr>
              <w:rPr>
                <w:rFonts w:cs="Arial"/>
                <w:szCs w:val="24"/>
              </w:rPr>
            </w:pPr>
            <w:r w:rsidRPr="0047258F">
              <w:rPr>
                <w:rFonts w:cs="Arial"/>
                <w:szCs w:val="24"/>
              </w:rPr>
              <w:t xml:space="preserve">Harrow is one of the most culturally diverse local authorities in the UK, with over 60% of residents being Black, Asian, Multi-ethnic or </w:t>
            </w:r>
            <w:proofErr w:type="gramStart"/>
            <w:r w:rsidRPr="0047258F">
              <w:rPr>
                <w:rFonts w:cs="Arial"/>
                <w:szCs w:val="24"/>
              </w:rPr>
              <w:t>Other</w:t>
            </w:r>
            <w:proofErr w:type="gramEnd"/>
            <w:r w:rsidRPr="0047258F">
              <w:rPr>
                <w:rFonts w:cs="Arial"/>
                <w:szCs w:val="24"/>
              </w:rPr>
              <w:t xml:space="preserve"> ethnic group.</w:t>
            </w:r>
          </w:p>
        </w:tc>
      </w:tr>
      <w:tr w:rsidR="00EE661C" w:rsidRPr="00AE1F0D" w14:paraId="1CBCABD9" w14:textId="77777777" w:rsidTr="7F8EF98D">
        <w:trPr>
          <w:trHeight w:val="391"/>
        </w:trPr>
        <w:tc>
          <w:tcPr>
            <w:tcW w:w="2122" w:type="dxa"/>
          </w:tcPr>
          <w:p w14:paraId="44E44013" w14:textId="77777777" w:rsidR="00C22686" w:rsidRPr="0047258F" w:rsidRDefault="00C22686">
            <w:pPr>
              <w:rPr>
                <w:rFonts w:cs="Arial"/>
                <w:szCs w:val="24"/>
              </w:rPr>
            </w:pPr>
            <w:r w:rsidRPr="0047258F">
              <w:rPr>
                <w:rFonts w:cs="Arial"/>
                <w:szCs w:val="24"/>
              </w:rPr>
              <w:t>Religion</w:t>
            </w:r>
          </w:p>
        </w:tc>
        <w:tc>
          <w:tcPr>
            <w:tcW w:w="6177" w:type="dxa"/>
          </w:tcPr>
          <w:p w14:paraId="037AE555" w14:textId="748D31E0" w:rsidR="00C22686" w:rsidRPr="0047258F" w:rsidRDefault="00C22686" w:rsidP="7F8EF98D">
            <w:pPr>
              <w:rPr>
                <w:rFonts w:cs="Arial"/>
              </w:rPr>
            </w:pPr>
            <w:r w:rsidRPr="7F8EF98D">
              <w:rPr>
                <w:rFonts w:cs="Arial"/>
                <w:lang w:val="en-AU"/>
              </w:rPr>
              <w:t>Of Harrow’s resident population 83.5% identify as having some form of religion. The most prominent religion is Christianity (33.9%), followed by Hinduism (25.8%), Islam (15.9%), Judaism (2.8%), and Buddhism (1.1%). Over a tenth of the borough identify as having no religion.</w:t>
            </w:r>
          </w:p>
        </w:tc>
      </w:tr>
      <w:tr w:rsidR="00EE661C" w:rsidRPr="00AE1F0D" w14:paraId="53A856C4" w14:textId="77777777" w:rsidTr="7F8EF98D">
        <w:trPr>
          <w:trHeight w:val="523"/>
        </w:trPr>
        <w:tc>
          <w:tcPr>
            <w:tcW w:w="2122" w:type="dxa"/>
          </w:tcPr>
          <w:p w14:paraId="0D195FA1" w14:textId="77777777" w:rsidR="00C22686" w:rsidRPr="0047258F" w:rsidRDefault="00C22686">
            <w:pPr>
              <w:rPr>
                <w:rFonts w:cs="Arial"/>
                <w:szCs w:val="24"/>
              </w:rPr>
            </w:pPr>
            <w:r w:rsidRPr="0047258F">
              <w:rPr>
                <w:rFonts w:cs="Arial"/>
                <w:szCs w:val="24"/>
              </w:rPr>
              <w:t>Health</w:t>
            </w:r>
          </w:p>
        </w:tc>
        <w:tc>
          <w:tcPr>
            <w:tcW w:w="6177" w:type="dxa"/>
          </w:tcPr>
          <w:p w14:paraId="21765505" w14:textId="77777777" w:rsidR="00C22686" w:rsidRPr="0047258F" w:rsidRDefault="00C22686">
            <w:pPr>
              <w:rPr>
                <w:rFonts w:cs="Arial"/>
                <w:szCs w:val="24"/>
              </w:rPr>
            </w:pPr>
            <w:r w:rsidRPr="0047258F">
              <w:rPr>
                <w:rFonts w:cs="Arial"/>
                <w:szCs w:val="24"/>
              </w:rPr>
              <w:t>Harrow is a generally healthy borough considering the age profile of residents, many of whom are quite elderly. It should be noted that the 2021 Census was undertaken during the Covid-19 Pandemic which may have influenced how people perceived and rated their health.</w:t>
            </w:r>
          </w:p>
        </w:tc>
      </w:tr>
      <w:tr w:rsidR="00EE661C" w:rsidRPr="00AE1F0D" w14:paraId="64F8CFE7" w14:textId="77777777" w:rsidTr="7F8EF98D">
        <w:trPr>
          <w:trHeight w:val="391"/>
        </w:trPr>
        <w:tc>
          <w:tcPr>
            <w:tcW w:w="2122" w:type="dxa"/>
          </w:tcPr>
          <w:p w14:paraId="7C156EA6" w14:textId="77777777" w:rsidR="00C22686" w:rsidRPr="0047258F" w:rsidRDefault="00C22686">
            <w:pPr>
              <w:rPr>
                <w:rFonts w:cs="Arial"/>
                <w:szCs w:val="24"/>
              </w:rPr>
            </w:pPr>
            <w:r w:rsidRPr="0047258F">
              <w:rPr>
                <w:rFonts w:cs="Arial"/>
                <w:szCs w:val="24"/>
              </w:rPr>
              <w:t>Disability</w:t>
            </w:r>
          </w:p>
        </w:tc>
        <w:tc>
          <w:tcPr>
            <w:tcW w:w="6177" w:type="dxa"/>
          </w:tcPr>
          <w:p w14:paraId="5D42C127" w14:textId="77777777" w:rsidR="00C22686" w:rsidRPr="0047258F" w:rsidRDefault="00C22686">
            <w:pPr>
              <w:rPr>
                <w:rFonts w:cs="Arial"/>
                <w:szCs w:val="24"/>
              </w:rPr>
            </w:pPr>
            <w:r w:rsidRPr="0047258F">
              <w:rPr>
                <w:rFonts w:cs="Arial"/>
                <w:szCs w:val="24"/>
              </w:rPr>
              <w:t xml:space="preserve">According to Census data, there are slightly lower levels of disability in Harrow compared with London averages. </w:t>
            </w:r>
          </w:p>
        </w:tc>
      </w:tr>
      <w:tr w:rsidR="00EE661C" w:rsidRPr="00AE1F0D" w14:paraId="0B8935C3" w14:textId="77777777" w:rsidTr="7F8EF98D">
        <w:trPr>
          <w:trHeight w:val="523"/>
        </w:trPr>
        <w:tc>
          <w:tcPr>
            <w:tcW w:w="2122" w:type="dxa"/>
          </w:tcPr>
          <w:p w14:paraId="384CCFD9" w14:textId="77777777" w:rsidR="00C22686" w:rsidRPr="0047258F" w:rsidRDefault="00C22686">
            <w:pPr>
              <w:rPr>
                <w:rFonts w:cs="Arial"/>
                <w:szCs w:val="24"/>
              </w:rPr>
            </w:pPr>
            <w:r w:rsidRPr="0047258F">
              <w:rPr>
                <w:rFonts w:cs="Arial"/>
                <w:szCs w:val="24"/>
              </w:rPr>
              <w:t>Proficiency in English</w:t>
            </w:r>
          </w:p>
        </w:tc>
        <w:tc>
          <w:tcPr>
            <w:tcW w:w="6177" w:type="dxa"/>
          </w:tcPr>
          <w:p w14:paraId="75CE8621" w14:textId="77777777" w:rsidR="00C22686" w:rsidRPr="0047258F" w:rsidRDefault="00C22686">
            <w:pPr>
              <w:rPr>
                <w:rFonts w:cs="Arial"/>
                <w:szCs w:val="24"/>
              </w:rPr>
            </w:pPr>
            <w:r w:rsidRPr="0047258F">
              <w:rPr>
                <w:rFonts w:cs="Arial"/>
                <w:szCs w:val="24"/>
              </w:rPr>
              <w:t xml:space="preserve">Harrow residents have lower levels of English spoken as a main language, which is likely to be reflective of the ethnic diversity in the borough. </w:t>
            </w:r>
          </w:p>
          <w:p w14:paraId="0EFC9913" w14:textId="77777777" w:rsidR="00C22686" w:rsidRPr="0047258F" w:rsidRDefault="00C22686">
            <w:pPr>
              <w:rPr>
                <w:rFonts w:cs="Arial"/>
                <w:szCs w:val="24"/>
              </w:rPr>
            </w:pPr>
            <w:r w:rsidRPr="0047258F">
              <w:rPr>
                <w:rFonts w:cs="Arial"/>
                <w:szCs w:val="24"/>
              </w:rPr>
              <w:t xml:space="preserve">As noted in the Harrow Economic Strategy, Black, </w:t>
            </w:r>
            <w:proofErr w:type="gramStart"/>
            <w:r w:rsidRPr="0047258F">
              <w:rPr>
                <w:rFonts w:cs="Arial"/>
                <w:szCs w:val="24"/>
              </w:rPr>
              <w:t>Asian</w:t>
            </w:r>
            <w:proofErr w:type="gramEnd"/>
            <w:r w:rsidRPr="0047258F">
              <w:rPr>
                <w:rFonts w:cs="Arial"/>
                <w:szCs w:val="24"/>
              </w:rPr>
              <w:t xml:space="preserve"> and Multi-ethnic residents are more likely to experience barriers to employment due to lack of English language, functional and digital skills.</w:t>
            </w:r>
          </w:p>
        </w:tc>
      </w:tr>
      <w:bookmarkEnd w:id="6"/>
      <w:tr w:rsidR="00EE661C" w:rsidRPr="00AE1F0D" w14:paraId="41F6E1A6" w14:textId="77777777" w:rsidTr="7F8EF98D">
        <w:trPr>
          <w:trHeight w:val="80"/>
        </w:trPr>
        <w:tc>
          <w:tcPr>
            <w:tcW w:w="2122" w:type="dxa"/>
          </w:tcPr>
          <w:p w14:paraId="29E034BC" w14:textId="77777777" w:rsidR="00C22686" w:rsidRPr="0047258F" w:rsidRDefault="00C22686">
            <w:pPr>
              <w:rPr>
                <w:rFonts w:cs="Arial"/>
                <w:szCs w:val="24"/>
              </w:rPr>
            </w:pPr>
            <w:r w:rsidRPr="0047258F">
              <w:rPr>
                <w:rFonts w:cs="Arial"/>
                <w:szCs w:val="24"/>
              </w:rPr>
              <w:t>LGBTQIA+</w:t>
            </w:r>
          </w:p>
        </w:tc>
        <w:tc>
          <w:tcPr>
            <w:tcW w:w="6177" w:type="dxa"/>
          </w:tcPr>
          <w:p w14:paraId="1953E14C" w14:textId="77777777" w:rsidR="00C22686" w:rsidRPr="0047258F" w:rsidRDefault="00C22686">
            <w:pPr>
              <w:rPr>
                <w:rFonts w:cs="Arial"/>
                <w:szCs w:val="24"/>
              </w:rPr>
            </w:pPr>
            <w:r w:rsidRPr="0047258F">
              <w:rPr>
                <w:rFonts w:cs="Arial"/>
                <w:szCs w:val="24"/>
              </w:rPr>
              <w:t>2.03% of Harrow residents aged 16 years and over identify as being part of the LGBTQIA+ community.</w:t>
            </w:r>
          </w:p>
        </w:tc>
      </w:tr>
      <w:tr w:rsidR="00EE661C" w:rsidRPr="00AE1F0D" w14:paraId="1FE2A350" w14:textId="77777777" w:rsidTr="7F8EF98D">
        <w:trPr>
          <w:trHeight w:val="80"/>
        </w:trPr>
        <w:tc>
          <w:tcPr>
            <w:tcW w:w="2122" w:type="dxa"/>
            <w:shd w:val="clear" w:color="auto" w:fill="D9D9D9" w:themeFill="background1" w:themeFillShade="D9"/>
          </w:tcPr>
          <w:p w14:paraId="373B6A42" w14:textId="77777777" w:rsidR="00C22686" w:rsidRPr="0047258F" w:rsidRDefault="00C22686" w:rsidP="00C94D19">
            <w:pPr>
              <w:keepNext/>
              <w:rPr>
                <w:rFonts w:cs="Arial"/>
                <w:b/>
                <w:bCs/>
                <w:szCs w:val="24"/>
              </w:rPr>
            </w:pPr>
            <w:r w:rsidRPr="0047258F">
              <w:rPr>
                <w:rFonts w:cs="Arial"/>
                <w:b/>
                <w:bCs/>
                <w:szCs w:val="24"/>
              </w:rPr>
              <w:t xml:space="preserve">Homes </w:t>
            </w:r>
          </w:p>
          <w:p w14:paraId="20C744BC" w14:textId="6431CEF2" w:rsidR="00C22686" w:rsidRPr="00FA3E77" w:rsidRDefault="00C22686" w:rsidP="00EE661C">
            <w:pPr>
              <w:keepNext/>
              <w:rPr>
                <w:rFonts w:cs="Arial"/>
                <w:sz w:val="20"/>
              </w:rPr>
            </w:pPr>
            <w:r w:rsidRPr="00FA3E77">
              <w:rPr>
                <w:rFonts w:cs="Arial"/>
                <w:sz w:val="20"/>
              </w:rPr>
              <w:t>(Census Data 2021)</w:t>
            </w:r>
          </w:p>
        </w:tc>
        <w:tc>
          <w:tcPr>
            <w:tcW w:w="6177" w:type="dxa"/>
            <w:shd w:val="clear" w:color="auto" w:fill="D9D9D9" w:themeFill="background1" w:themeFillShade="D9"/>
          </w:tcPr>
          <w:p w14:paraId="17A49486" w14:textId="77777777" w:rsidR="00C22686" w:rsidRPr="0047258F" w:rsidRDefault="00C22686" w:rsidP="00C94D19">
            <w:pPr>
              <w:keepNext/>
              <w:rPr>
                <w:rFonts w:cs="Arial"/>
                <w:szCs w:val="24"/>
              </w:rPr>
            </w:pPr>
          </w:p>
        </w:tc>
      </w:tr>
      <w:tr w:rsidR="00EE661C" w:rsidRPr="00AE1F0D" w14:paraId="532E0709" w14:textId="77777777" w:rsidTr="7F8EF98D">
        <w:trPr>
          <w:trHeight w:val="80"/>
        </w:trPr>
        <w:tc>
          <w:tcPr>
            <w:tcW w:w="2122" w:type="dxa"/>
          </w:tcPr>
          <w:p w14:paraId="549FE43E" w14:textId="77777777" w:rsidR="00C22686" w:rsidRPr="0047258F" w:rsidRDefault="00C22686">
            <w:pPr>
              <w:rPr>
                <w:rFonts w:cs="Arial"/>
                <w:szCs w:val="24"/>
              </w:rPr>
            </w:pPr>
            <w:r w:rsidRPr="0047258F">
              <w:rPr>
                <w:rFonts w:cs="Arial"/>
                <w:szCs w:val="24"/>
              </w:rPr>
              <w:t>Household Size</w:t>
            </w:r>
          </w:p>
        </w:tc>
        <w:tc>
          <w:tcPr>
            <w:tcW w:w="6177" w:type="dxa"/>
          </w:tcPr>
          <w:p w14:paraId="1503F07F" w14:textId="77777777" w:rsidR="00C22686" w:rsidRPr="0047258F" w:rsidRDefault="00C22686">
            <w:pPr>
              <w:rPr>
                <w:rFonts w:cs="Arial"/>
                <w:szCs w:val="24"/>
              </w:rPr>
            </w:pPr>
            <w:r w:rsidRPr="0047258F">
              <w:rPr>
                <w:rFonts w:cs="Arial"/>
                <w:szCs w:val="24"/>
              </w:rPr>
              <w:t>Harrow has significantly larger households than the London average. 32.5% of households have 4 or more people compared to the London average of 24.1%.</w:t>
            </w:r>
          </w:p>
        </w:tc>
      </w:tr>
      <w:tr w:rsidR="00EE661C" w:rsidRPr="00AE1F0D" w14:paraId="1BA727E2" w14:textId="77777777" w:rsidTr="7F8EF98D">
        <w:trPr>
          <w:trHeight w:val="80"/>
        </w:trPr>
        <w:tc>
          <w:tcPr>
            <w:tcW w:w="2122" w:type="dxa"/>
          </w:tcPr>
          <w:p w14:paraId="27D0C860" w14:textId="77777777" w:rsidR="00C22686" w:rsidRPr="0047258F" w:rsidRDefault="00C22686">
            <w:pPr>
              <w:rPr>
                <w:rFonts w:cs="Arial"/>
                <w:szCs w:val="24"/>
              </w:rPr>
            </w:pPr>
            <w:r w:rsidRPr="0047258F">
              <w:rPr>
                <w:rFonts w:cs="Arial"/>
                <w:szCs w:val="24"/>
              </w:rPr>
              <w:lastRenderedPageBreak/>
              <w:t>Household Size</w:t>
            </w:r>
          </w:p>
        </w:tc>
        <w:tc>
          <w:tcPr>
            <w:tcW w:w="6177" w:type="dxa"/>
          </w:tcPr>
          <w:p w14:paraId="0FA3D821" w14:textId="77777777" w:rsidR="00C22686" w:rsidRPr="0047258F" w:rsidRDefault="00C22686">
            <w:pPr>
              <w:rPr>
                <w:rFonts w:cs="Arial"/>
                <w:szCs w:val="24"/>
              </w:rPr>
            </w:pPr>
            <w:r w:rsidRPr="0047258F">
              <w:rPr>
                <w:rFonts w:cs="Arial"/>
                <w:szCs w:val="24"/>
              </w:rPr>
              <w:t>Harrow has a significantly lower proportion of lone person households (12.1%) than the London average (20.1%).</w:t>
            </w:r>
          </w:p>
        </w:tc>
      </w:tr>
      <w:tr w:rsidR="00EE661C" w:rsidRPr="00AE1F0D" w14:paraId="16FA531D" w14:textId="77777777" w:rsidTr="7F8EF98D">
        <w:trPr>
          <w:trHeight w:val="80"/>
        </w:trPr>
        <w:tc>
          <w:tcPr>
            <w:tcW w:w="2122" w:type="dxa"/>
          </w:tcPr>
          <w:p w14:paraId="76B1BDEC" w14:textId="77777777" w:rsidR="00C22686" w:rsidRPr="0047258F" w:rsidRDefault="00C22686">
            <w:pPr>
              <w:rPr>
                <w:rFonts w:cs="Arial"/>
                <w:szCs w:val="24"/>
              </w:rPr>
            </w:pPr>
            <w:r w:rsidRPr="0047258F">
              <w:rPr>
                <w:rFonts w:cs="Arial"/>
                <w:szCs w:val="24"/>
              </w:rPr>
              <w:t>Accommodation Type</w:t>
            </w:r>
          </w:p>
        </w:tc>
        <w:tc>
          <w:tcPr>
            <w:tcW w:w="6177" w:type="dxa"/>
          </w:tcPr>
          <w:p w14:paraId="1BD0091D" w14:textId="77777777" w:rsidR="00C22686" w:rsidRPr="0047258F" w:rsidRDefault="00C22686">
            <w:pPr>
              <w:rPr>
                <w:rFonts w:cs="Arial"/>
                <w:szCs w:val="24"/>
              </w:rPr>
            </w:pPr>
            <w:r w:rsidRPr="0047258F">
              <w:rPr>
                <w:rFonts w:cs="Arial"/>
                <w:szCs w:val="24"/>
              </w:rPr>
              <w:t>Harrow is a lower density housing borough. There are a significantly greater proportion of whole house or bungalow homes in the borough than the London Average, this is reflective of a more suburban outer London Borough.</w:t>
            </w:r>
          </w:p>
        </w:tc>
      </w:tr>
      <w:tr w:rsidR="00EE661C" w:rsidRPr="00AE1F0D" w14:paraId="1E2CEE57" w14:textId="77777777" w:rsidTr="7F8EF98D">
        <w:trPr>
          <w:trHeight w:val="80"/>
        </w:trPr>
        <w:tc>
          <w:tcPr>
            <w:tcW w:w="2122" w:type="dxa"/>
          </w:tcPr>
          <w:p w14:paraId="1C532E25" w14:textId="77777777" w:rsidR="00C22686" w:rsidRPr="0047258F" w:rsidRDefault="00C22686">
            <w:pPr>
              <w:rPr>
                <w:rFonts w:cs="Arial"/>
                <w:szCs w:val="24"/>
              </w:rPr>
            </w:pPr>
            <w:r w:rsidRPr="0047258F">
              <w:rPr>
                <w:rFonts w:cs="Arial"/>
                <w:szCs w:val="24"/>
              </w:rPr>
              <w:t>Accommodation Type</w:t>
            </w:r>
          </w:p>
        </w:tc>
        <w:tc>
          <w:tcPr>
            <w:tcW w:w="6177" w:type="dxa"/>
          </w:tcPr>
          <w:p w14:paraId="3E1DF42B" w14:textId="77777777" w:rsidR="00C22686" w:rsidRPr="0047258F" w:rsidRDefault="00C22686">
            <w:pPr>
              <w:rPr>
                <w:rFonts w:cs="Arial"/>
                <w:szCs w:val="24"/>
              </w:rPr>
            </w:pPr>
            <w:r w:rsidRPr="0047258F">
              <w:rPr>
                <w:rFonts w:cs="Arial"/>
                <w:szCs w:val="24"/>
              </w:rPr>
              <w:t>There are significantly lower proportion of flats in the borough than the London average.</w:t>
            </w:r>
          </w:p>
        </w:tc>
      </w:tr>
      <w:tr w:rsidR="00EE661C" w:rsidRPr="00AE1F0D" w14:paraId="3CEB65DD" w14:textId="77777777" w:rsidTr="7F8EF98D">
        <w:trPr>
          <w:trHeight w:val="80"/>
        </w:trPr>
        <w:tc>
          <w:tcPr>
            <w:tcW w:w="2122" w:type="dxa"/>
          </w:tcPr>
          <w:p w14:paraId="3CC0357B" w14:textId="77777777" w:rsidR="00C22686" w:rsidRPr="0047258F" w:rsidRDefault="00C22686">
            <w:pPr>
              <w:rPr>
                <w:rFonts w:cs="Arial"/>
                <w:szCs w:val="24"/>
              </w:rPr>
            </w:pPr>
            <w:r w:rsidRPr="0047258F">
              <w:rPr>
                <w:rFonts w:cs="Arial"/>
                <w:szCs w:val="24"/>
              </w:rPr>
              <w:t>Occupancy rating for bedrooms</w:t>
            </w:r>
          </w:p>
        </w:tc>
        <w:tc>
          <w:tcPr>
            <w:tcW w:w="6177" w:type="dxa"/>
          </w:tcPr>
          <w:p w14:paraId="34D07A2A" w14:textId="77777777" w:rsidR="00C22686" w:rsidRPr="0047258F" w:rsidRDefault="00C22686">
            <w:pPr>
              <w:rPr>
                <w:rFonts w:cs="Arial"/>
                <w:szCs w:val="24"/>
              </w:rPr>
            </w:pPr>
            <w:r w:rsidRPr="0047258F">
              <w:rPr>
                <w:rFonts w:cs="Arial"/>
                <w:szCs w:val="24"/>
              </w:rPr>
              <w:t xml:space="preserve">Harrow has slightly fewer spare bedrooms in houses than London averages, and more 2+ occupancy bedrooms in the borough than the London average.  </w:t>
            </w:r>
          </w:p>
        </w:tc>
      </w:tr>
      <w:tr w:rsidR="00EE661C" w:rsidRPr="00AE1F0D" w14:paraId="5ADD0873" w14:textId="77777777" w:rsidTr="7F8EF98D">
        <w:trPr>
          <w:trHeight w:val="80"/>
        </w:trPr>
        <w:tc>
          <w:tcPr>
            <w:tcW w:w="2122" w:type="dxa"/>
          </w:tcPr>
          <w:p w14:paraId="2DAFA980" w14:textId="77777777" w:rsidR="00C22686" w:rsidRPr="0047258F" w:rsidRDefault="00C22686">
            <w:pPr>
              <w:rPr>
                <w:rFonts w:cs="Arial"/>
                <w:szCs w:val="24"/>
              </w:rPr>
            </w:pPr>
            <w:r w:rsidRPr="0047258F">
              <w:rPr>
                <w:rFonts w:cs="Arial"/>
                <w:szCs w:val="24"/>
              </w:rPr>
              <w:t>Household Tenure</w:t>
            </w:r>
          </w:p>
        </w:tc>
        <w:tc>
          <w:tcPr>
            <w:tcW w:w="6177" w:type="dxa"/>
          </w:tcPr>
          <w:p w14:paraId="470661A6" w14:textId="77777777" w:rsidR="00C22686" w:rsidRPr="0047258F" w:rsidRDefault="00C22686">
            <w:pPr>
              <w:rPr>
                <w:rFonts w:cs="Arial"/>
                <w:szCs w:val="24"/>
              </w:rPr>
            </w:pPr>
            <w:r w:rsidRPr="0047258F">
              <w:rPr>
                <w:rFonts w:cs="Arial"/>
                <w:szCs w:val="24"/>
              </w:rPr>
              <w:t>Harrow is a high home ownership borough. There are higher rates of outright ownership of houses compared to London averages, and higher rates of ownership with a mortgage or loan than the London average.</w:t>
            </w:r>
          </w:p>
        </w:tc>
      </w:tr>
      <w:tr w:rsidR="00EE661C" w:rsidRPr="00AE1F0D" w14:paraId="26EE562A" w14:textId="77777777" w:rsidTr="7F8EF98D">
        <w:trPr>
          <w:trHeight w:val="80"/>
        </w:trPr>
        <w:tc>
          <w:tcPr>
            <w:tcW w:w="2122" w:type="dxa"/>
          </w:tcPr>
          <w:p w14:paraId="6C9A1A3D" w14:textId="77777777" w:rsidR="00C22686" w:rsidRPr="0047258F" w:rsidRDefault="00C22686">
            <w:pPr>
              <w:rPr>
                <w:rFonts w:cs="Arial"/>
                <w:szCs w:val="24"/>
              </w:rPr>
            </w:pPr>
            <w:r w:rsidRPr="0047258F">
              <w:rPr>
                <w:rFonts w:cs="Arial"/>
                <w:szCs w:val="24"/>
              </w:rPr>
              <w:t>Household Tenure</w:t>
            </w:r>
          </w:p>
        </w:tc>
        <w:tc>
          <w:tcPr>
            <w:tcW w:w="6177" w:type="dxa"/>
          </w:tcPr>
          <w:p w14:paraId="6EED76AA" w14:textId="77777777" w:rsidR="00C22686" w:rsidRPr="0047258F" w:rsidRDefault="00C22686">
            <w:pPr>
              <w:rPr>
                <w:rFonts w:cs="Arial"/>
                <w:szCs w:val="24"/>
              </w:rPr>
            </w:pPr>
            <w:r w:rsidRPr="0047258F">
              <w:rPr>
                <w:rFonts w:cs="Arial"/>
                <w:szCs w:val="24"/>
              </w:rPr>
              <w:t xml:space="preserve">There are significantly lower rates of social rented housing in Harrow compared to the London average. </w:t>
            </w:r>
          </w:p>
        </w:tc>
      </w:tr>
      <w:tr w:rsidR="00EE661C" w:rsidRPr="00AE1F0D" w14:paraId="3C4637F5" w14:textId="77777777" w:rsidTr="7F8EF98D">
        <w:trPr>
          <w:trHeight w:val="80"/>
        </w:trPr>
        <w:tc>
          <w:tcPr>
            <w:tcW w:w="2122" w:type="dxa"/>
            <w:shd w:val="clear" w:color="auto" w:fill="D9D9D9" w:themeFill="background1" w:themeFillShade="D9"/>
          </w:tcPr>
          <w:p w14:paraId="206C4D38" w14:textId="77777777" w:rsidR="00C22686" w:rsidRPr="0047258F" w:rsidRDefault="00C22686">
            <w:pPr>
              <w:rPr>
                <w:rFonts w:cs="Arial"/>
                <w:b/>
                <w:bCs/>
                <w:szCs w:val="24"/>
              </w:rPr>
            </w:pPr>
            <w:r w:rsidRPr="0047258F">
              <w:rPr>
                <w:rFonts w:cs="Arial"/>
                <w:b/>
                <w:bCs/>
                <w:szCs w:val="24"/>
              </w:rPr>
              <w:t>Infrastructure</w:t>
            </w:r>
          </w:p>
          <w:p w14:paraId="75DB2D84" w14:textId="77777777" w:rsidR="00C22686" w:rsidRPr="00FA3E77" w:rsidRDefault="00C22686">
            <w:pPr>
              <w:rPr>
                <w:rFonts w:cs="Arial"/>
                <w:sz w:val="20"/>
              </w:rPr>
            </w:pPr>
            <w:r w:rsidRPr="00FA3E77">
              <w:rPr>
                <w:rFonts w:cs="Arial"/>
                <w:sz w:val="20"/>
              </w:rPr>
              <w:t>(Census Data 2021)</w:t>
            </w:r>
          </w:p>
        </w:tc>
        <w:tc>
          <w:tcPr>
            <w:tcW w:w="6177" w:type="dxa"/>
            <w:shd w:val="clear" w:color="auto" w:fill="D9D9D9" w:themeFill="background1" w:themeFillShade="D9"/>
          </w:tcPr>
          <w:p w14:paraId="746E086D" w14:textId="77777777" w:rsidR="00C22686" w:rsidRPr="0047258F" w:rsidRDefault="00C22686">
            <w:pPr>
              <w:rPr>
                <w:rFonts w:cs="Arial"/>
                <w:szCs w:val="24"/>
              </w:rPr>
            </w:pPr>
          </w:p>
        </w:tc>
      </w:tr>
      <w:tr w:rsidR="00EE661C" w:rsidRPr="00AE1F0D" w14:paraId="5CD192AD" w14:textId="77777777" w:rsidTr="7F8EF98D">
        <w:trPr>
          <w:trHeight w:val="260"/>
        </w:trPr>
        <w:tc>
          <w:tcPr>
            <w:tcW w:w="2122" w:type="dxa"/>
          </w:tcPr>
          <w:p w14:paraId="6CDD7D4E" w14:textId="77777777" w:rsidR="00C22686" w:rsidRPr="0047258F" w:rsidRDefault="00C22686">
            <w:pPr>
              <w:rPr>
                <w:rFonts w:cs="Arial"/>
                <w:szCs w:val="24"/>
              </w:rPr>
            </w:pPr>
            <w:r w:rsidRPr="0047258F">
              <w:rPr>
                <w:rFonts w:cs="Arial"/>
                <w:szCs w:val="24"/>
              </w:rPr>
              <w:t>Car Ownership</w:t>
            </w:r>
          </w:p>
        </w:tc>
        <w:tc>
          <w:tcPr>
            <w:tcW w:w="6177" w:type="dxa"/>
          </w:tcPr>
          <w:p w14:paraId="081D083C" w14:textId="77777777" w:rsidR="00C22686" w:rsidRPr="0047258F" w:rsidRDefault="00C22686">
            <w:pPr>
              <w:rPr>
                <w:rFonts w:cs="Arial"/>
                <w:szCs w:val="24"/>
              </w:rPr>
            </w:pPr>
            <w:r w:rsidRPr="0047258F">
              <w:rPr>
                <w:rFonts w:cs="Arial"/>
                <w:szCs w:val="24"/>
              </w:rPr>
              <w:t xml:space="preserve">Harrow has significantly higher rates of car ownership (75.2%) compared to the London average (57.9%). </w:t>
            </w:r>
          </w:p>
        </w:tc>
      </w:tr>
      <w:tr w:rsidR="00EE661C" w:rsidRPr="00AE1F0D" w14:paraId="607A5832" w14:textId="77777777" w:rsidTr="7F8EF98D">
        <w:trPr>
          <w:trHeight w:val="80"/>
        </w:trPr>
        <w:tc>
          <w:tcPr>
            <w:tcW w:w="2122" w:type="dxa"/>
          </w:tcPr>
          <w:p w14:paraId="6EF4EF7B" w14:textId="77777777" w:rsidR="00C22686" w:rsidRPr="0047258F" w:rsidRDefault="00C22686">
            <w:pPr>
              <w:rPr>
                <w:rFonts w:cs="Arial"/>
                <w:szCs w:val="24"/>
              </w:rPr>
            </w:pPr>
            <w:r w:rsidRPr="0047258F">
              <w:rPr>
                <w:rFonts w:cs="Arial"/>
                <w:szCs w:val="24"/>
              </w:rPr>
              <w:t>Working from Home</w:t>
            </w:r>
          </w:p>
        </w:tc>
        <w:tc>
          <w:tcPr>
            <w:tcW w:w="6177" w:type="dxa"/>
          </w:tcPr>
          <w:p w14:paraId="45942C75" w14:textId="77777777" w:rsidR="00C22686" w:rsidRPr="0047258F" w:rsidRDefault="00C22686">
            <w:pPr>
              <w:rPr>
                <w:rFonts w:cs="Arial"/>
                <w:szCs w:val="24"/>
              </w:rPr>
            </w:pPr>
            <w:r w:rsidRPr="0047258F">
              <w:rPr>
                <w:rFonts w:cs="Arial"/>
                <w:szCs w:val="24"/>
              </w:rPr>
              <w:t xml:space="preserve">Harrow has lower rates of residents working predominantly from home compared with London averages. It should be noted that this census data is from 2021 during the Covid-19 Pandemic, during which time a higher proportion of people were working from home. </w:t>
            </w:r>
          </w:p>
        </w:tc>
      </w:tr>
      <w:tr w:rsidR="00EE661C" w:rsidRPr="00AE1F0D" w14:paraId="265C22B2" w14:textId="77777777" w:rsidTr="7F8EF98D">
        <w:trPr>
          <w:trHeight w:val="80"/>
        </w:trPr>
        <w:tc>
          <w:tcPr>
            <w:tcW w:w="2122" w:type="dxa"/>
          </w:tcPr>
          <w:p w14:paraId="5096723F" w14:textId="77777777" w:rsidR="00C22686" w:rsidRPr="0047258F" w:rsidRDefault="00C22686">
            <w:pPr>
              <w:rPr>
                <w:rFonts w:cs="Arial"/>
                <w:szCs w:val="24"/>
              </w:rPr>
            </w:pPr>
            <w:r w:rsidRPr="0047258F">
              <w:rPr>
                <w:rFonts w:cs="Arial"/>
                <w:szCs w:val="24"/>
              </w:rPr>
              <w:t>Distance to work</w:t>
            </w:r>
          </w:p>
        </w:tc>
        <w:tc>
          <w:tcPr>
            <w:tcW w:w="6177" w:type="dxa"/>
          </w:tcPr>
          <w:p w14:paraId="36A9ACEF" w14:textId="77777777" w:rsidR="00C22686" w:rsidRPr="0047258F" w:rsidRDefault="00C22686">
            <w:pPr>
              <w:rPr>
                <w:rFonts w:cs="Arial"/>
                <w:szCs w:val="24"/>
              </w:rPr>
            </w:pPr>
            <w:r w:rsidRPr="0047258F">
              <w:rPr>
                <w:rFonts w:cs="Arial"/>
                <w:szCs w:val="24"/>
              </w:rPr>
              <w:t xml:space="preserve">Harrow workers travel further to get to work, having higher rates of residents travelling 10-30km to get to work than the London average.  </w:t>
            </w:r>
          </w:p>
        </w:tc>
      </w:tr>
      <w:tr w:rsidR="00EE661C" w:rsidRPr="00AE1F0D" w14:paraId="4011AEEE" w14:textId="77777777" w:rsidTr="7F8EF98D">
        <w:trPr>
          <w:trHeight w:val="80"/>
        </w:trPr>
        <w:tc>
          <w:tcPr>
            <w:tcW w:w="2122" w:type="dxa"/>
          </w:tcPr>
          <w:p w14:paraId="37ABC049" w14:textId="77777777" w:rsidR="00C22686" w:rsidRPr="0047258F" w:rsidRDefault="00C22686">
            <w:pPr>
              <w:rPr>
                <w:rFonts w:cs="Arial"/>
                <w:szCs w:val="24"/>
              </w:rPr>
            </w:pPr>
            <w:r w:rsidRPr="0047258F">
              <w:rPr>
                <w:rFonts w:cs="Arial"/>
                <w:szCs w:val="24"/>
              </w:rPr>
              <w:t xml:space="preserve">Method of travel to work </w:t>
            </w:r>
          </w:p>
        </w:tc>
        <w:tc>
          <w:tcPr>
            <w:tcW w:w="6177" w:type="dxa"/>
          </w:tcPr>
          <w:p w14:paraId="52FC7E25" w14:textId="77777777" w:rsidR="00C22686" w:rsidRPr="0047258F" w:rsidRDefault="00C22686">
            <w:pPr>
              <w:rPr>
                <w:rFonts w:cs="Arial"/>
                <w:szCs w:val="24"/>
              </w:rPr>
            </w:pPr>
            <w:r w:rsidRPr="0047258F">
              <w:rPr>
                <w:rFonts w:cs="Arial"/>
                <w:szCs w:val="24"/>
              </w:rPr>
              <w:t>Harrow has significantly higher rates of car use to get to work compared with the London average, and lower levels of bus and non-underground train usage as a method of transport to work.</w:t>
            </w:r>
          </w:p>
          <w:p w14:paraId="3B80322D" w14:textId="77777777" w:rsidR="00C22686" w:rsidRPr="0047258F" w:rsidRDefault="00C22686">
            <w:pPr>
              <w:rPr>
                <w:rFonts w:cs="Arial"/>
                <w:szCs w:val="24"/>
              </w:rPr>
            </w:pPr>
            <w:r w:rsidRPr="0047258F">
              <w:rPr>
                <w:rFonts w:cs="Arial"/>
                <w:szCs w:val="24"/>
              </w:rPr>
              <w:t>Harrow has significantly lower rates of cycling and walking as a method of travel to work compared with the London average.</w:t>
            </w:r>
          </w:p>
        </w:tc>
      </w:tr>
      <w:tr w:rsidR="00EE661C" w:rsidRPr="00AE1F0D" w14:paraId="4A7CFD84" w14:textId="77777777" w:rsidTr="7F8EF98D">
        <w:trPr>
          <w:trHeight w:val="80"/>
        </w:trPr>
        <w:tc>
          <w:tcPr>
            <w:tcW w:w="2122" w:type="dxa"/>
          </w:tcPr>
          <w:p w14:paraId="0170BE5A" w14:textId="77777777" w:rsidR="00C22686" w:rsidRPr="0047258F" w:rsidRDefault="00C22686">
            <w:pPr>
              <w:rPr>
                <w:rFonts w:cs="Arial"/>
                <w:szCs w:val="24"/>
              </w:rPr>
            </w:pPr>
            <w:r w:rsidRPr="0047258F">
              <w:rPr>
                <w:rFonts w:cs="Arial"/>
                <w:szCs w:val="24"/>
              </w:rPr>
              <w:t>Sustainable Travel</w:t>
            </w:r>
          </w:p>
          <w:p w14:paraId="5D4326A9" w14:textId="77777777" w:rsidR="00C22686" w:rsidRPr="0047258F" w:rsidRDefault="00C22686">
            <w:pPr>
              <w:rPr>
                <w:rFonts w:cs="Arial"/>
                <w:szCs w:val="24"/>
              </w:rPr>
            </w:pPr>
            <w:r w:rsidRPr="0047258F">
              <w:rPr>
                <w:rFonts w:cs="Arial"/>
                <w:szCs w:val="24"/>
              </w:rPr>
              <w:t>(Living Harrow: The London Borough of Harrow’s Climate and Nature Strategy 2023-2030)</w:t>
            </w:r>
          </w:p>
        </w:tc>
        <w:tc>
          <w:tcPr>
            <w:tcW w:w="6177" w:type="dxa"/>
          </w:tcPr>
          <w:p w14:paraId="742F026D" w14:textId="77777777" w:rsidR="00C22686" w:rsidRPr="0047258F" w:rsidRDefault="00C22686">
            <w:pPr>
              <w:rPr>
                <w:rFonts w:cs="Arial"/>
                <w:szCs w:val="24"/>
              </w:rPr>
            </w:pPr>
            <w:r w:rsidRPr="0047258F">
              <w:rPr>
                <w:rFonts w:cs="Arial"/>
                <w:szCs w:val="24"/>
              </w:rPr>
              <w:t>Over the 3-year period from 2017/18 to 2019/20, 23.5% of journeys in Harrow were made by public transport, 28.7% by walking and 0.8% by cycling, to give an overall number of journeys by sustainable means of 53%. This compares to an outer London average of 55.1% and 64.8% for London as a whole.</w:t>
            </w:r>
          </w:p>
        </w:tc>
      </w:tr>
      <w:tr w:rsidR="00EE661C" w:rsidRPr="00AE1F0D" w14:paraId="7A3D33FC" w14:textId="77777777" w:rsidTr="7F8EF98D">
        <w:trPr>
          <w:trHeight w:val="80"/>
        </w:trPr>
        <w:tc>
          <w:tcPr>
            <w:tcW w:w="2122" w:type="dxa"/>
          </w:tcPr>
          <w:p w14:paraId="38169CC7" w14:textId="77777777" w:rsidR="00C22686" w:rsidRPr="0047258F" w:rsidRDefault="00C22686">
            <w:pPr>
              <w:rPr>
                <w:rFonts w:cs="Arial"/>
                <w:szCs w:val="24"/>
              </w:rPr>
            </w:pPr>
            <w:r w:rsidRPr="0047258F">
              <w:rPr>
                <w:rFonts w:cs="Arial"/>
                <w:szCs w:val="24"/>
              </w:rPr>
              <w:t xml:space="preserve">Waste Management </w:t>
            </w:r>
          </w:p>
          <w:p w14:paraId="56894061" w14:textId="77777777" w:rsidR="00C22686" w:rsidRPr="0047258F" w:rsidRDefault="00C22686">
            <w:pPr>
              <w:rPr>
                <w:rFonts w:cs="Arial"/>
                <w:szCs w:val="24"/>
              </w:rPr>
            </w:pPr>
            <w:r w:rsidRPr="0047258F">
              <w:rPr>
                <w:rFonts w:cs="Arial"/>
                <w:szCs w:val="24"/>
              </w:rPr>
              <w:t xml:space="preserve">(Living Harrow: The London </w:t>
            </w:r>
            <w:r w:rsidRPr="0047258F">
              <w:rPr>
                <w:rFonts w:cs="Arial"/>
                <w:szCs w:val="24"/>
              </w:rPr>
              <w:lastRenderedPageBreak/>
              <w:t>Borough of Harrow’s Climate and Nature Strategy 2023-2030)</w:t>
            </w:r>
          </w:p>
        </w:tc>
        <w:tc>
          <w:tcPr>
            <w:tcW w:w="6177" w:type="dxa"/>
          </w:tcPr>
          <w:p w14:paraId="6A77AB04" w14:textId="77777777" w:rsidR="00C22686" w:rsidRPr="0047258F" w:rsidRDefault="00C22686">
            <w:pPr>
              <w:rPr>
                <w:rFonts w:cs="Arial"/>
                <w:szCs w:val="24"/>
              </w:rPr>
            </w:pPr>
            <w:r w:rsidRPr="0047258F">
              <w:rPr>
                <w:rFonts w:cs="Arial"/>
                <w:szCs w:val="24"/>
              </w:rPr>
              <w:lastRenderedPageBreak/>
              <w:t xml:space="preserve">Harrow has the highest residual waste levels in West London, with an average of 619kg of residual waste produced by each household in Harrow. The borough’s </w:t>
            </w:r>
            <w:r w:rsidRPr="0047258F">
              <w:rPr>
                <w:rFonts w:cs="Arial"/>
                <w:szCs w:val="24"/>
              </w:rPr>
              <w:lastRenderedPageBreak/>
              <w:t>recycling rates of 35.70% are better than the London average of 32.7%</w:t>
            </w:r>
          </w:p>
          <w:p w14:paraId="0BE8BA3C" w14:textId="77777777" w:rsidR="00C22686" w:rsidRPr="0047258F" w:rsidRDefault="00C22686">
            <w:pPr>
              <w:rPr>
                <w:rFonts w:cs="Arial"/>
                <w:szCs w:val="24"/>
              </w:rPr>
            </w:pPr>
          </w:p>
        </w:tc>
      </w:tr>
      <w:tr w:rsidR="00EE661C" w:rsidRPr="00AE1F0D" w14:paraId="428A995A" w14:textId="77777777" w:rsidTr="7F8EF98D">
        <w:trPr>
          <w:trHeight w:val="80"/>
        </w:trPr>
        <w:tc>
          <w:tcPr>
            <w:tcW w:w="2122" w:type="dxa"/>
            <w:shd w:val="clear" w:color="auto" w:fill="D9D9D9" w:themeFill="background1" w:themeFillShade="D9"/>
          </w:tcPr>
          <w:p w14:paraId="1900407D" w14:textId="77777777" w:rsidR="00C22686" w:rsidRPr="0047258F" w:rsidRDefault="00C22686">
            <w:pPr>
              <w:rPr>
                <w:rFonts w:cs="Arial"/>
                <w:b/>
                <w:bCs/>
                <w:szCs w:val="24"/>
              </w:rPr>
            </w:pPr>
            <w:r w:rsidRPr="0047258F">
              <w:rPr>
                <w:rFonts w:cs="Arial"/>
                <w:b/>
                <w:bCs/>
                <w:szCs w:val="24"/>
              </w:rPr>
              <w:lastRenderedPageBreak/>
              <w:t xml:space="preserve">Economy </w:t>
            </w:r>
          </w:p>
          <w:p w14:paraId="39B6AB4A" w14:textId="77777777" w:rsidR="00C22686" w:rsidRPr="00FA3E77" w:rsidRDefault="00C22686">
            <w:pPr>
              <w:rPr>
                <w:rFonts w:cs="Arial"/>
                <w:sz w:val="20"/>
              </w:rPr>
            </w:pPr>
            <w:r w:rsidRPr="00FA3E77">
              <w:rPr>
                <w:rFonts w:cs="Arial"/>
                <w:sz w:val="20"/>
              </w:rPr>
              <w:t>(Harrow Economic Strategy 2023)</w:t>
            </w:r>
          </w:p>
        </w:tc>
        <w:tc>
          <w:tcPr>
            <w:tcW w:w="6177" w:type="dxa"/>
            <w:shd w:val="clear" w:color="auto" w:fill="D9D9D9" w:themeFill="background1" w:themeFillShade="D9"/>
          </w:tcPr>
          <w:p w14:paraId="2FD61258" w14:textId="77777777" w:rsidR="00C22686" w:rsidRPr="0047258F" w:rsidRDefault="00C22686">
            <w:pPr>
              <w:rPr>
                <w:rFonts w:cs="Arial"/>
                <w:szCs w:val="24"/>
              </w:rPr>
            </w:pPr>
          </w:p>
        </w:tc>
      </w:tr>
      <w:tr w:rsidR="00EE661C" w:rsidRPr="00AE1F0D" w14:paraId="620805A5" w14:textId="77777777" w:rsidTr="7F8EF98D">
        <w:trPr>
          <w:trHeight w:val="80"/>
        </w:trPr>
        <w:tc>
          <w:tcPr>
            <w:tcW w:w="2122" w:type="dxa"/>
          </w:tcPr>
          <w:p w14:paraId="5A29F44D" w14:textId="77777777" w:rsidR="00C22686" w:rsidRPr="0047258F" w:rsidRDefault="00C22686">
            <w:pPr>
              <w:rPr>
                <w:rFonts w:cs="Arial"/>
                <w:szCs w:val="24"/>
              </w:rPr>
            </w:pPr>
            <w:r w:rsidRPr="0047258F">
              <w:rPr>
                <w:rFonts w:cs="Arial"/>
                <w:szCs w:val="24"/>
              </w:rPr>
              <w:t>Unemployment</w:t>
            </w:r>
          </w:p>
        </w:tc>
        <w:tc>
          <w:tcPr>
            <w:tcW w:w="6177" w:type="dxa"/>
          </w:tcPr>
          <w:p w14:paraId="168E0950" w14:textId="77777777" w:rsidR="00C22686" w:rsidRPr="0047258F" w:rsidRDefault="00C22686">
            <w:pPr>
              <w:rPr>
                <w:rFonts w:cs="Arial"/>
                <w:szCs w:val="24"/>
              </w:rPr>
            </w:pPr>
            <w:r w:rsidRPr="0047258F">
              <w:rPr>
                <w:rFonts w:cs="Arial"/>
                <w:szCs w:val="24"/>
              </w:rPr>
              <w:t>Unemployment in Harrow has almost doubled since the pandemic. In June 2019, 1.8% of working age residents aged 16 to 64 were out of work, this had risen to 3.6% in February 2023</w:t>
            </w:r>
          </w:p>
        </w:tc>
      </w:tr>
      <w:tr w:rsidR="00EE661C" w:rsidRPr="00AE1F0D" w14:paraId="15FE32E5" w14:textId="77777777" w:rsidTr="7F8EF98D">
        <w:trPr>
          <w:trHeight w:val="80"/>
        </w:trPr>
        <w:tc>
          <w:tcPr>
            <w:tcW w:w="2122" w:type="dxa"/>
          </w:tcPr>
          <w:p w14:paraId="68CD84FF" w14:textId="77777777" w:rsidR="00C22686" w:rsidRPr="0047258F" w:rsidRDefault="00C22686">
            <w:pPr>
              <w:rPr>
                <w:rFonts w:cs="Arial"/>
                <w:szCs w:val="24"/>
              </w:rPr>
            </w:pPr>
            <w:r w:rsidRPr="0047258F">
              <w:rPr>
                <w:rFonts w:cs="Arial"/>
                <w:szCs w:val="24"/>
              </w:rPr>
              <w:t>Qualifications</w:t>
            </w:r>
          </w:p>
        </w:tc>
        <w:tc>
          <w:tcPr>
            <w:tcW w:w="6177" w:type="dxa"/>
          </w:tcPr>
          <w:p w14:paraId="2F7426B8" w14:textId="77777777" w:rsidR="00C22686" w:rsidRPr="0047258F" w:rsidRDefault="00C22686">
            <w:pPr>
              <w:rPr>
                <w:rFonts w:cs="Arial"/>
                <w:szCs w:val="24"/>
              </w:rPr>
            </w:pPr>
            <w:r w:rsidRPr="0047258F">
              <w:rPr>
                <w:rFonts w:cs="Arial"/>
                <w:szCs w:val="24"/>
              </w:rPr>
              <w:t xml:space="preserve">17.4% of Harrow residents have no qualifications and are furthest away from the job market. More support is required for entry level qualifications. </w:t>
            </w:r>
          </w:p>
        </w:tc>
      </w:tr>
      <w:tr w:rsidR="00EE661C" w:rsidRPr="00AE1F0D" w14:paraId="1D3983EF" w14:textId="77777777" w:rsidTr="7F8EF98D">
        <w:trPr>
          <w:trHeight w:val="129"/>
        </w:trPr>
        <w:tc>
          <w:tcPr>
            <w:tcW w:w="2122" w:type="dxa"/>
          </w:tcPr>
          <w:p w14:paraId="53F32AB2" w14:textId="77777777" w:rsidR="00C22686" w:rsidRPr="0047258F" w:rsidRDefault="00C22686">
            <w:pPr>
              <w:rPr>
                <w:rFonts w:cs="Arial"/>
                <w:szCs w:val="24"/>
              </w:rPr>
            </w:pPr>
            <w:r w:rsidRPr="0047258F">
              <w:rPr>
                <w:rFonts w:cs="Arial"/>
                <w:szCs w:val="24"/>
              </w:rPr>
              <w:t>Job Density</w:t>
            </w:r>
          </w:p>
        </w:tc>
        <w:tc>
          <w:tcPr>
            <w:tcW w:w="6177" w:type="dxa"/>
          </w:tcPr>
          <w:p w14:paraId="32B9CEA6" w14:textId="77777777" w:rsidR="00C22686" w:rsidRPr="0047258F" w:rsidRDefault="00C22686">
            <w:pPr>
              <w:rPr>
                <w:rFonts w:cs="Arial"/>
                <w:szCs w:val="24"/>
              </w:rPr>
            </w:pPr>
            <w:r w:rsidRPr="0047258F">
              <w:rPr>
                <w:rFonts w:cs="Arial"/>
                <w:szCs w:val="24"/>
              </w:rPr>
              <w:t>Job density measures the number of jobs per working age resident and in 2021 the figure for Harrow was 0.509. This is significantly lower than neighbouring boroughs and is the lowest in the West London Alliance (WLA) region.</w:t>
            </w:r>
          </w:p>
        </w:tc>
      </w:tr>
      <w:tr w:rsidR="00EE661C" w:rsidRPr="00AE1F0D" w14:paraId="768AF981" w14:textId="77777777" w:rsidTr="7F8EF98D">
        <w:trPr>
          <w:trHeight w:val="80"/>
        </w:trPr>
        <w:tc>
          <w:tcPr>
            <w:tcW w:w="2122" w:type="dxa"/>
          </w:tcPr>
          <w:p w14:paraId="42872232" w14:textId="77777777" w:rsidR="00C22686" w:rsidRPr="0047258F" w:rsidRDefault="00C22686">
            <w:pPr>
              <w:rPr>
                <w:rFonts w:cs="Arial"/>
                <w:szCs w:val="24"/>
              </w:rPr>
            </w:pPr>
            <w:r w:rsidRPr="0047258F">
              <w:rPr>
                <w:rFonts w:cs="Arial"/>
                <w:szCs w:val="24"/>
              </w:rPr>
              <w:t xml:space="preserve">Resident Earnings </w:t>
            </w:r>
          </w:p>
          <w:p w14:paraId="55379EBF" w14:textId="77777777" w:rsidR="00C22686" w:rsidRPr="0047258F" w:rsidRDefault="00C22686">
            <w:pPr>
              <w:rPr>
                <w:rFonts w:cs="Arial"/>
                <w:szCs w:val="24"/>
              </w:rPr>
            </w:pPr>
            <w:r w:rsidRPr="0047258F">
              <w:rPr>
                <w:rFonts w:cs="Arial"/>
                <w:szCs w:val="24"/>
              </w:rPr>
              <w:t>(2022 ONS annual survey of hours and earnings - resident analysis)</w:t>
            </w:r>
          </w:p>
        </w:tc>
        <w:tc>
          <w:tcPr>
            <w:tcW w:w="6177" w:type="dxa"/>
          </w:tcPr>
          <w:p w14:paraId="51D1E345" w14:textId="77777777" w:rsidR="00C22686" w:rsidRPr="0047258F" w:rsidRDefault="00C22686">
            <w:pPr>
              <w:rPr>
                <w:rFonts w:cs="Arial"/>
                <w:szCs w:val="24"/>
                <w:lang w:val="en-AU"/>
              </w:rPr>
            </w:pPr>
            <w:r w:rsidRPr="0047258F">
              <w:rPr>
                <w:rFonts w:cs="Arial"/>
                <w:szCs w:val="24"/>
                <w:lang w:val="en-AU"/>
              </w:rPr>
              <w:t xml:space="preserve">Average full-time weekly earnings in 2022 for Harrow residents (£798.8) were higher than the averages in neighbouring boroughs Brent and </w:t>
            </w:r>
            <w:proofErr w:type="spellStart"/>
            <w:r w:rsidRPr="0047258F">
              <w:rPr>
                <w:rFonts w:cs="Arial"/>
                <w:szCs w:val="24"/>
                <w:lang w:val="en-AU"/>
              </w:rPr>
              <w:t>Ealing</w:t>
            </w:r>
            <w:proofErr w:type="spellEnd"/>
            <w:r w:rsidRPr="0047258F">
              <w:rPr>
                <w:rFonts w:cs="Arial"/>
                <w:szCs w:val="24"/>
                <w:lang w:val="en-AU"/>
              </w:rPr>
              <w:t>, as well as London.</w:t>
            </w:r>
          </w:p>
          <w:p w14:paraId="7C08BEC1" w14:textId="77777777" w:rsidR="00C22686" w:rsidRPr="0047258F" w:rsidRDefault="00C22686">
            <w:pPr>
              <w:rPr>
                <w:rFonts w:cs="Arial"/>
                <w:szCs w:val="24"/>
              </w:rPr>
            </w:pPr>
          </w:p>
        </w:tc>
      </w:tr>
      <w:tr w:rsidR="00EE661C" w:rsidRPr="00AE1F0D" w14:paraId="47C63758" w14:textId="77777777" w:rsidTr="7F8EF98D">
        <w:trPr>
          <w:trHeight w:val="80"/>
        </w:trPr>
        <w:tc>
          <w:tcPr>
            <w:tcW w:w="2122" w:type="dxa"/>
          </w:tcPr>
          <w:p w14:paraId="4C92D2C2" w14:textId="77777777" w:rsidR="00C22686" w:rsidRPr="0047258F" w:rsidRDefault="00C22686">
            <w:pPr>
              <w:rPr>
                <w:rFonts w:cs="Arial"/>
                <w:szCs w:val="24"/>
              </w:rPr>
            </w:pPr>
            <w:r w:rsidRPr="0047258F">
              <w:rPr>
                <w:rFonts w:cs="Arial"/>
                <w:szCs w:val="24"/>
              </w:rPr>
              <w:t>Resident Earnings Wage Gap</w:t>
            </w:r>
          </w:p>
          <w:p w14:paraId="37AC30EC" w14:textId="77777777" w:rsidR="00C22686" w:rsidRPr="0047258F" w:rsidRDefault="00C22686">
            <w:pPr>
              <w:rPr>
                <w:rFonts w:cs="Arial"/>
                <w:szCs w:val="24"/>
              </w:rPr>
            </w:pPr>
            <w:r w:rsidRPr="0047258F">
              <w:rPr>
                <w:rFonts w:cs="Arial"/>
                <w:szCs w:val="24"/>
              </w:rPr>
              <w:t>(2022 ONS annual survey of hours and earnings - resident analysis)</w:t>
            </w:r>
          </w:p>
        </w:tc>
        <w:tc>
          <w:tcPr>
            <w:tcW w:w="6177" w:type="dxa"/>
          </w:tcPr>
          <w:p w14:paraId="63DD9C68" w14:textId="77777777" w:rsidR="00C22686" w:rsidRPr="0047258F" w:rsidRDefault="00C22686">
            <w:pPr>
              <w:rPr>
                <w:rFonts w:cs="Arial"/>
                <w:szCs w:val="24"/>
              </w:rPr>
            </w:pPr>
            <w:r w:rsidRPr="0047258F">
              <w:rPr>
                <w:rFonts w:cs="Arial"/>
                <w:szCs w:val="24"/>
              </w:rPr>
              <w:t xml:space="preserve">There is a significant gender wage gap in Harrow. </w:t>
            </w:r>
            <w:r w:rsidRPr="0047258F">
              <w:rPr>
                <w:rFonts w:cs="Arial"/>
                <w:szCs w:val="24"/>
                <w:lang w:val="en-AU"/>
              </w:rPr>
              <w:t>Average full-time weekly earnings for men (£882.6) were significantly higher than those recorded for women (£695.0).</w:t>
            </w:r>
          </w:p>
        </w:tc>
      </w:tr>
      <w:tr w:rsidR="00EE661C" w:rsidRPr="00AE1F0D" w14:paraId="7EF8E8BA" w14:textId="77777777" w:rsidTr="7F8EF98D">
        <w:trPr>
          <w:trHeight w:val="80"/>
        </w:trPr>
        <w:tc>
          <w:tcPr>
            <w:tcW w:w="2122" w:type="dxa"/>
          </w:tcPr>
          <w:p w14:paraId="1A460496" w14:textId="77777777" w:rsidR="00C22686" w:rsidRPr="0047258F" w:rsidRDefault="00C22686">
            <w:pPr>
              <w:rPr>
                <w:rFonts w:cs="Arial"/>
                <w:szCs w:val="24"/>
              </w:rPr>
            </w:pPr>
            <w:r w:rsidRPr="0047258F">
              <w:rPr>
                <w:rFonts w:cs="Arial"/>
                <w:szCs w:val="24"/>
              </w:rPr>
              <w:t>Wages in Harrow</w:t>
            </w:r>
          </w:p>
        </w:tc>
        <w:tc>
          <w:tcPr>
            <w:tcW w:w="6177" w:type="dxa"/>
          </w:tcPr>
          <w:p w14:paraId="0B2AAB43" w14:textId="77777777" w:rsidR="00C22686" w:rsidRPr="0047258F" w:rsidRDefault="00C22686">
            <w:pPr>
              <w:rPr>
                <w:rFonts w:cs="Arial"/>
                <w:szCs w:val="24"/>
              </w:rPr>
            </w:pPr>
            <w:r w:rsidRPr="0047258F">
              <w:rPr>
                <w:rFonts w:cs="Arial"/>
                <w:szCs w:val="24"/>
              </w:rPr>
              <w:t xml:space="preserve">Wages paid by Harrow’s businesses are below the London average, with all those that are employed in the borough having gross weekly earnings of £514.20, which is 37% less than the London average of £815.90. </w:t>
            </w:r>
          </w:p>
        </w:tc>
      </w:tr>
      <w:tr w:rsidR="00EE661C" w:rsidRPr="00AE1F0D" w14:paraId="734E75E0" w14:textId="77777777" w:rsidTr="7F8EF98D">
        <w:trPr>
          <w:trHeight w:val="80"/>
        </w:trPr>
        <w:tc>
          <w:tcPr>
            <w:tcW w:w="2122" w:type="dxa"/>
          </w:tcPr>
          <w:p w14:paraId="2E051B09" w14:textId="77777777" w:rsidR="00C22686" w:rsidRPr="0047258F" w:rsidRDefault="00C22686">
            <w:pPr>
              <w:rPr>
                <w:rFonts w:cs="Arial"/>
                <w:szCs w:val="24"/>
              </w:rPr>
            </w:pPr>
            <w:r w:rsidRPr="0047258F">
              <w:rPr>
                <w:rFonts w:cs="Arial"/>
                <w:szCs w:val="24"/>
              </w:rPr>
              <w:t>Deprivation</w:t>
            </w:r>
          </w:p>
          <w:p w14:paraId="14EAFEAA" w14:textId="77777777" w:rsidR="00C22686" w:rsidRPr="0047258F" w:rsidRDefault="00C22686">
            <w:pPr>
              <w:rPr>
                <w:rFonts w:cs="Arial"/>
                <w:szCs w:val="24"/>
              </w:rPr>
            </w:pPr>
            <w:r w:rsidRPr="0047258F">
              <w:rPr>
                <w:rFonts w:cs="Arial"/>
                <w:szCs w:val="24"/>
              </w:rPr>
              <w:t>(</w:t>
            </w:r>
            <w:r w:rsidRPr="0047258F">
              <w:rPr>
                <w:rFonts w:cs="Arial"/>
                <w:szCs w:val="24"/>
                <w:lang w:val="en-AU"/>
              </w:rPr>
              <w:t>English Indices of Deprivation 2019)</w:t>
            </w:r>
          </w:p>
        </w:tc>
        <w:tc>
          <w:tcPr>
            <w:tcW w:w="6177" w:type="dxa"/>
          </w:tcPr>
          <w:p w14:paraId="163883CC" w14:textId="77777777" w:rsidR="00C22686" w:rsidRPr="0047258F" w:rsidRDefault="00C22686">
            <w:pPr>
              <w:rPr>
                <w:rFonts w:cs="Arial"/>
                <w:szCs w:val="24"/>
                <w:lang w:val="en-AU"/>
              </w:rPr>
            </w:pPr>
            <w:r w:rsidRPr="0047258F">
              <w:rPr>
                <w:rFonts w:cs="Arial"/>
                <w:szCs w:val="24"/>
                <w:lang w:val="en-AU"/>
              </w:rPr>
              <w:t>Harrow is ranked 207</w:t>
            </w:r>
            <w:r w:rsidRPr="0047258F">
              <w:rPr>
                <w:rFonts w:cs="Arial"/>
                <w:szCs w:val="24"/>
                <w:vertAlign w:val="superscript"/>
                <w:lang w:val="en-AU"/>
              </w:rPr>
              <w:t>th</w:t>
            </w:r>
            <w:r w:rsidRPr="0047258F">
              <w:rPr>
                <w:rFonts w:cs="Arial"/>
                <w:szCs w:val="24"/>
                <w:lang w:val="en-AU"/>
              </w:rPr>
              <w:t xml:space="preserve"> most deprived local authority in England, out of 317, (1 being most deprived and 317 being least deprived). </w:t>
            </w:r>
          </w:p>
          <w:p w14:paraId="1124D9E4" w14:textId="77777777" w:rsidR="00C22686" w:rsidRPr="0047258F" w:rsidRDefault="00C22686">
            <w:pPr>
              <w:rPr>
                <w:rFonts w:cs="Arial"/>
                <w:szCs w:val="24"/>
                <w:lang w:val="en-AU"/>
              </w:rPr>
            </w:pPr>
            <w:r w:rsidRPr="0047258F">
              <w:rPr>
                <w:rFonts w:cs="Arial"/>
                <w:szCs w:val="24"/>
                <w:lang w:val="en-AU"/>
              </w:rPr>
              <w:t xml:space="preserve">Harrow is the seventh least deprived London Borough in the Index, although it should be noted that this data was recorded pre-pandemic and unemployment in Harrow has nearly doubled since. </w:t>
            </w:r>
          </w:p>
          <w:p w14:paraId="5921733B" w14:textId="117F9DF1" w:rsidR="00C22686" w:rsidRPr="0047258F" w:rsidRDefault="00EE661C" w:rsidP="007227BB">
            <w:pPr>
              <w:rPr>
                <w:rFonts w:cs="Arial"/>
                <w:szCs w:val="24"/>
              </w:rPr>
            </w:pPr>
            <w:r w:rsidRPr="0047258F">
              <w:rPr>
                <w:rFonts w:cs="Arial"/>
                <w:noProof/>
                <w:szCs w:val="24"/>
                <w:lang w:val="en-AU"/>
              </w:rPr>
              <w:lastRenderedPageBreak/>
              <w:drawing>
                <wp:anchor distT="0" distB="0" distL="114300" distR="114300" simplePos="0" relativeHeight="251658240" behindDoc="0" locked="0" layoutInCell="1" allowOverlap="1" wp14:anchorId="26FA2DA9" wp14:editId="4BDD9C71">
                  <wp:simplePos x="0" y="0"/>
                  <wp:positionH relativeFrom="column">
                    <wp:posOffset>10795</wp:posOffset>
                  </wp:positionH>
                  <wp:positionV relativeFrom="paragraph">
                    <wp:posOffset>744220</wp:posOffset>
                  </wp:positionV>
                  <wp:extent cx="3785342" cy="4676775"/>
                  <wp:effectExtent l="0" t="0" r="5715" b="0"/>
                  <wp:wrapThrough wrapText="bothSides">
                    <wp:wrapPolygon edited="0">
                      <wp:start x="0" y="0"/>
                      <wp:lineTo x="0" y="21468"/>
                      <wp:lineTo x="21524" y="21468"/>
                      <wp:lineTo x="21524" y="0"/>
                      <wp:lineTo x="0" y="0"/>
                    </wp:wrapPolygon>
                  </wp:wrapThrough>
                  <wp:docPr id="975472535" name="Picture 975472535"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472535" name="Picture 1" descr="A map of a city&#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785342" cy="4676775"/>
                          </a:xfrm>
                          <a:prstGeom prst="rect">
                            <a:avLst/>
                          </a:prstGeom>
                        </pic:spPr>
                      </pic:pic>
                    </a:graphicData>
                  </a:graphic>
                  <wp14:sizeRelH relativeFrom="margin">
                    <wp14:pctWidth>0</wp14:pctWidth>
                  </wp14:sizeRelH>
                  <wp14:sizeRelV relativeFrom="margin">
                    <wp14:pctHeight>0</wp14:pctHeight>
                  </wp14:sizeRelV>
                </wp:anchor>
              </w:drawing>
            </w:r>
            <w:r w:rsidR="00C22686" w:rsidRPr="0047258F">
              <w:rPr>
                <w:rFonts w:cs="Arial"/>
                <w:szCs w:val="24"/>
              </w:rPr>
              <w:t>While resident earnings are generally high in comparison to neighbouring boroughs, there are still pockets of deprivation in the borough, these are highlighted in the map below.</w:t>
            </w:r>
          </w:p>
        </w:tc>
      </w:tr>
      <w:tr w:rsidR="00EE661C" w:rsidRPr="00AE1F0D" w14:paraId="23481AC9" w14:textId="77777777" w:rsidTr="7F8EF98D">
        <w:trPr>
          <w:trHeight w:val="80"/>
        </w:trPr>
        <w:tc>
          <w:tcPr>
            <w:tcW w:w="2122" w:type="dxa"/>
          </w:tcPr>
          <w:p w14:paraId="240D023F" w14:textId="77777777" w:rsidR="00C22686" w:rsidRPr="0047258F" w:rsidRDefault="00C22686">
            <w:pPr>
              <w:rPr>
                <w:rFonts w:cs="Arial"/>
                <w:szCs w:val="24"/>
              </w:rPr>
            </w:pPr>
            <w:r w:rsidRPr="0047258F">
              <w:rPr>
                <w:rFonts w:cs="Arial"/>
                <w:szCs w:val="24"/>
              </w:rPr>
              <w:lastRenderedPageBreak/>
              <w:t xml:space="preserve">Businesses </w:t>
            </w:r>
          </w:p>
        </w:tc>
        <w:tc>
          <w:tcPr>
            <w:tcW w:w="6177" w:type="dxa"/>
          </w:tcPr>
          <w:p w14:paraId="221BE5B5" w14:textId="77777777" w:rsidR="00C22686" w:rsidRPr="0047258F" w:rsidRDefault="00C22686">
            <w:pPr>
              <w:rPr>
                <w:rFonts w:cs="Arial"/>
                <w:szCs w:val="24"/>
              </w:rPr>
            </w:pPr>
            <w:r w:rsidRPr="0047258F">
              <w:rPr>
                <w:rFonts w:cs="Arial"/>
                <w:szCs w:val="24"/>
              </w:rPr>
              <w:t>There has been a decline in the number of Harrow businesses surviving beyond five years which fell from 44% in 2020 to 40.9% in 2021. This is likely reflective of a business base dominated by micro-businesses who are likely to have struggled to stay open after the pandemic and face barriers to accessing finance.</w:t>
            </w:r>
          </w:p>
        </w:tc>
      </w:tr>
      <w:tr w:rsidR="00EE661C" w:rsidRPr="00AE1F0D" w14:paraId="5FD0B9EF" w14:textId="77777777" w:rsidTr="7F8EF98D">
        <w:trPr>
          <w:trHeight w:val="80"/>
        </w:trPr>
        <w:tc>
          <w:tcPr>
            <w:tcW w:w="2122" w:type="dxa"/>
            <w:shd w:val="clear" w:color="auto" w:fill="D9D9D9" w:themeFill="background1" w:themeFillShade="D9"/>
          </w:tcPr>
          <w:p w14:paraId="2038562E" w14:textId="77777777" w:rsidR="00C22686" w:rsidRPr="0047258F" w:rsidRDefault="00C22686" w:rsidP="0047258F">
            <w:pPr>
              <w:keepNext/>
              <w:rPr>
                <w:rFonts w:cs="Arial"/>
                <w:b/>
                <w:bCs/>
                <w:szCs w:val="24"/>
              </w:rPr>
            </w:pPr>
            <w:r w:rsidRPr="0047258F">
              <w:rPr>
                <w:rFonts w:cs="Arial"/>
                <w:b/>
                <w:bCs/>
                <w:szCs w:val="24"/>
              </w:rPr>
              <w:t xml:space="preserve">Environment </w:t>
            </w:r>
          </w:p>
          <w:p w14:paraId="2C4EEF4A" w14:textId="77777777" w:rsidR="00C22686" w:rsidRPr="00FA3E77" w:rsidRDefault="00C22686" w:rsidP="0047258F">
            <w:pPr>
              <w:keepNext/>
              <w:rPr>
                <w:rFonts w:cs="Arial"/>
                <w:sz w:val="20"/>
              </w:rPr>
            </w:pPr>
            <w:r w:rsidRPr="00FA3E77">
              <w:rPr>
                <w:rFonts w:cs="Arial"/>
                <w:sz w:val="20"/>
              </w:rPr>
              <w:t>Living Harrow: The London Borough of Harrow’s Climate and Nature Strategy 2023-2030</w:t>
            </w:r>
          </w:p>
        </w:tc>
        <w:tc>
          <w:tcPr>
            <w:tcW w:w="6177" w:type="dxa"/>
            <w:shd w:val="clear" w:color="auto" w:fill="D9D9D9" w:themeFill="background1" w:themeFillShade="D9"/>
          </w:tcPr>
          <w:p w14:paraId="6B3EB5C8" w14:textId="77777777" w:rsidR="00C22686" w:rsidRPr="0047258F" w:rsidRDefault="00C22686" w:rsidP="0047258F">
            <w:pPr>
              <w:keepNext/>
              <w:rPr>
                <w:rFonts w:cs="Arial"/>
                <w:szCs w:val="24"/>
              </w:rPr>
            </w:pPr>
          </w:p>
        </w:tc>
      </w:tr>
      <w:tr w:rsidR="00EE661C" w:rsidRPr="00AE1F0D" w14:paraId="4A150D19" w14:textId="77777777" w:rsidTr="7F8EF98D">
        <w:trPr>
          <w:trHeight w:val="80"/>
        </w:trPr>
        <w:tc>
          <w:tcPr>
            <w:tcW w:w="2122" w:type="dxa"/>
          </w:tcPr>
          <w:p w14:paraId="6579DE76" w14:textId="77777777" w:rsidR="00C22686" w:rsidRPr="0047258F" w:rsidRDefault="00C22686">
            <w:pPr>
              <w:rPr>
                <w:rFonts w:cs="Arial"/>
                <w:szCs w:val="24"/>
              </w:rPr>
            </w:pPr>
            <w:r w:rsidRPr="0047258F">
              <w:rPr>
                <w:rFonts w:cs="Arial"/>
                <w:szCs w:val="24"/>
              </w:rPr>
              <w:t xml:space="preserve">Open Space </w:t>
            </w:r>
          </w:p>
        </w:tc>
        <w:tc>
          <w:tcPr>
            <w:tcW w:w="6177" w:type="dxa"/>
          </w:tcPr>
          <w:p w14:paraId="0F585081" w14:textId="77777777" w:rsidR="00C22686" w:rsidRPr="0047258F" w:rsidRDefault="00C22686">
            <w:pPr>
              <w:rPr>
                <w:rFonts w:cs="Arial"/>
                <w:szCs w:val="24"/>
              </w:rPr>
            </w:pPr>
            <w:r w:rsidRPr="0047258F">
              <w:rPr>
                <w:rFonts w:cs="Arial"/>
                <w:szCs w:val="24"/>
              </w:rPr>
              <w:t>Approximately 20% of the borough’s land by area is identified as open space. These open spaces comprise more than 80 areas, including parks, allotments, nature reserves and cemeteries.</w:t>
            </w:r>
          </w:p>
        </w:tc>
      </w:tr>
      <w:tr w:rsidR="00EE661C" w:rsidRPr="00AE1F0D" w14:paraId="7898AEE2" w14:textId="77777777" w:rsidTr="7F8EF98D">
        <w:trPr>
          <w:trHeight w:val="80"/>
        </w:trPr>
        <w:tc>
          <w:tcPr>
            <w:tcW w:w="2122" w:type="dxa"/>
          </w:tcPr>
          <w:p w14:paraId="24A466AE" w14:textId="77777777" w:rsidR="00C22686" w:rsidRPr="0047258F" w:rsidRDefault="00C22686">
            <w:pPr>
              <w:rPr>
                <w:rFonts w:cs="Arial"/>
                <w:szCs w:val="24"/>
              </w:rPr>
            </w:pPr>
            <w:r w:rsidRPr="0047258F">
              <w:rPr>
                <w:rFonts w:cs="Arial"/>
                <w:szCs w:val="24"/>
              </w:rPr>
              <w:t>Biodiversity</w:t>
            </w:r>
          </w:p>
        </w:tc>
        <w:tc>
          <w:tcPr>
            <w:tcW w:w="6177" w:type="dxa"/>
          </w:tcPr>
          <w:p w14:paraId="5203D895" w14:textId="77777777" w:rsidR="00C22686" w:rsidRPr="0047258F" w:rsidRDefault="00C22686">
            <w:pPr>
              <w:rPr>
                <w:rFonts w:cs="Arial"/>
                <w:szCs w:val="24"/>
              </w:rPr>
            </w:pPr>
            <w:r w:rsidRPr="0047258F">
              <w:rPr>
                <w:rFonts w:cs="Arial"/>
                <w:szCs w:val="24"/>
              </w:rPr>
              <w:t>Harrow has 44 designated Sites of Importance for Nature Conservation (SINCs), which includes Bentley Priory Nature Reserve, the borough’s only Site of Special Scientific Interest (SSSI).</w:t>
            </w:r>
          </w:p>
        </w:tc>
      </w:tr>
    </w:tbl>
    <w:p w14:paraId="1479FD61" w14:textId="77777777" w:rsidR="00C22686" w:rsidRDefault="00C22686" w:rsidP="00C22686">
      <w:pPr>
        <w:rPr>
          <w:rFonts w:cs="Arial"/>
          <w:szCs w:val="24"/>
        </w:rPr>
      </w:pPr>
    </w:p>
    <w:p w14:paraId="4C946788" w14:textId="77777777" w:rsidR="009D1E65" w:rsidRDefault="009D1E65">
      <w:pPr>
        <w:rPr>
          <w:b/>
          <w:bCs/>
          <w:sz w:val="28"/>
        </w:rPr>
      </w:pPr>
      <w:r>
        <w:rPr>
          <w:b/>
          <w:bCs/>
          <w:sz w:val="28"/>
        </w:rPr>
        <w:br w:type="page"/>
      </w:r>
    </w:p>
    <w:p w14:paraId="39AED217" w14:textId="36FABF94" w:rsidR="009D1E65" w:rsidRPr="009D1E65" w:rsidRDefault="009D1E65" w:rsidP="009D1E65">
      <w:pPr>
        <w:rPr>
          <w:b/>
          <w:bCs/>
          <w:sz w:val="28"/>
        </w:rPr>
      </w:pPr>
      <w:r w:rsidRPr="009D1E65">
        <w:rPr>
          <w:b/>
          <w:bCs/>
          <w:sz w:val="28"/>
        </w:rPr>
        <w:lastRenderedPageBreak/>
        <w:t xml:space="preserve">Appendix 3 – Draft Spatial Vision and Strategy, and Strategic Objectives </w:t>
      </w:r>
    </w:p>
    <w:p w14:paraId="37742084" w14:textId="77777777" w:rsidR="009D1E65" w:rsidRDefault="009D1E65" w:rsidP="00012C4A">
      <w:pPr>
        <w:pStyle w:val="Infotext"/>
        <w:rPr>
          <w:sz w:val="24"/>
          <w:szCs w:val="24"/>
        </w:rPr>
      </w:pPr>
    </w:p>
    <w:p w14:paraId="24EF48B6" w14:textId="77777777" w:rsidR="00274E64" w:rsidRDefault="00274E64" w:rsidP="00750CE8">
      <w:pPr>
        <w:pBdr>
          <w:top w:val="single" w:sz="4" w:space="1" w:color="auto"/>
          <w:left w:val="single" w:sz="4" w:space="4" w:color="auto"/>
          <w:bottom w:val="single" w:sz="4" w:space="1" w:color="auto"/>
          <w:right w:val="single" w:sz="4" w:space="4" w:color="auto"/>
        </w:pBdr>
        <w:rPr>
          <w:rFonts w:cs="Arial"/>
          <w:b/>
          <w:bCs/>
          <w:szCs w:val="24"/>
        </w:rPr>
      </w:pPr>
      <w:r w:rsidRPr="004C31D7">
        <w:rPr>
          <w:rFonts w:cs="Arial"/>
          <w:b/>
          <w:bCs/>
          <w:szCs w:val="24"/>
        </w:rPr>
        <w:t>Spatial Vision</w:t>
      </w:r>
    </w:p>
    <w:p w14:paraId="4575B995" w14:textId="77777777" w:rsidR="00274E64" w:rsidRPr="004C31D7" w:rsidRDefault="00274E64" w:rsidP="00750CE8">
      <w:pPr>
        <w:pBdr>
          <w:top w:val="single" w:sz="4" w:space="1" w:color="auto"/>
          <w:left w:val="single" w:sz="4" w:space="4" w:color="auto"/>
          <w:bottom w:val="single" w:sz="4" w:space="1" w:color="auto"/>
          <w:right w:val="single" w:sz="4" w:space="4" w:color="auto"/>
        </w:pBdr>
        <w:rPr>
          <w:rFonts w:cs="Arial"/>
          <w:b/>
          <w:bCs/>
          <w:szCs w:val="24"/>
        </w:rPr>
      </w:pPr>
    </w:p>
    <w:p w14:paraId="0AC52F9C"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In the year 2041 Harrow will continue to be a thriving outer London Borough, helping London to grow sustainably while maintaining its own identity. There will be a resounding sense of pride in Harrow, it is a place that people want to live, work and visit.</w:t>
      </w:r>
    </w:p>
    <w:p w14:paraId="09FCD915"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49C034B6"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Development will respect the character of the borough and its capacity to evolve over time.</w:t>
      </w:r>
    </w:p>
    <w:p w14:paraId="352E6EB2"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6DB2F711"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The diverse Harrow community will benefit from an ever-improving quality of life, having a well-connected borough that provides excellent local access to a range of facilities, services, housing, employment, and nature.</w:t>
      </w:r>
    </w:p>
    <w:p w14:paraId="711E51A1"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05BD35EC"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Harrow will be a clean and safe borough where residents can settle in homes that suit the needs of their household and lifestyle.</w:t>
      </w:r>
    </w:p>
    <w:p w14:paraId="179AA38B"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46CA6431"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Residents and businesses will benefit from the creation of sustainable neighbourhoods where housing, local services, employment, and facilities are within walking and cycling distance. Residents will be healthier and happier due to localised provision of goods and services.</w:t>
      </w:r>
    </w:p>
    <w:p w14:paraId="401CC8C7"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5D729440"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 xml:space="preserve">Town centres will be revitalised through innovative measures adapting to their changing roles as places of leisure, </w:t>
      </w:r>
      <w:proofErr w:type="gramStart"/>
      <w:r w:rsidRPr="00CC433B">
        <w:rPr>
          <w:rFonts w:cs="Arial"/>
          <w:szCs w:val="24"/>
        </w:rPr>
        <w:t>arts</w:t>
      </w:r>
      <w:proofErr w:type="gramEnd"/>
      <w:r w:rsidRPr="00CC433B">
        <w:rPr>
          <w:rFonts w:cs="Arial"/>
          <w:szCs w:val="24"/>
        </w:rPr>
        <w:t xml:space="preserve"> and culture, in addition to work and retail hubs. Town centres will be exciting places for people to live should they choose.</w:t>
      </w:r>
    </w:p>
    <w:p w14:paraId="1AA0ED74"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0FAE3D09"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The borough has been responding to the climate emergency and seeing the benefits of taking early action to improve our environment. New developments are energy efficient and carbon neutral. Retrofit of older building stock has been encouraged and facilitated to minimise emissions and ensure residents have cheap, clean energy.</w:t>
      </w:r>
    </w:p>
    <w:p w14:paraId="770A4EFD"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2A683752" w14:textId="77777777" w:rsidR="00274E64" w:rsidRDefault="00274E64" w:rsidP="00750CE8">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Air quality will have significantly improved through shifts to sustainable transport and electric cars. Active transport and EV infrastructure has been bolstered to facilitate the transition. Recycling rates will be some of the best in London.</w:t>
      </w:r>
    </w:p>
    <w:p w14:paraId="4FA04E37" w14:textId="77777777" w:rsidR="00750CE8" w:rsidRPr="00CC433B" w:rsidRDefault="00750CE8" w:rsidP="00750CE8">
      <w:pPr>
        <w:pBdr>
          <w:top w:val="single" w:sz="4" w:space="1" w:color="auto"/>
          <w:left w:val="single" w:sz="4" w:space="4" w:color="auto"/>
          <w:bottom w:val="single" w:sz="4" w:space="1" w:color="auto"/>
          <w:right w:val="single" w:sz="4" w:space="4" w:color="auto"/>
        </w:pBdr>
        <w:rPr>
          <w:rFonts w:cs="Arial"/>
          <w:szCs w:val="24"/>
        </w:rPr>
      </w:pPr>
    </w:p>
    <w:p w14:paraId="7B1F0F57" w14:textId="24DC3DDA" w:rsidR="00274E64" w:rsidRPr="00CC433B" w:rsidRDefault="00274E64" w:rsidP="7F8EF98D">
      <w:pPr>
        <w:pBdr>
          <w:top w:val="single" w:sz="4" w:space="1" w:color="auto"/>
          <w:left w:val="single" w:sz="4" w:space="4" w:color="auto"/>
          <w:bottom w:val="single" w:sz="4" w:space="1" w:color="auto"/>
          <w:right w:val="single" w:sz="4" w:space="4" w:color="auto"/>
        </w:pBdr>
        <w:rPr>
          <w:rFonts w:cs="Arial"/>
        </w:rPr>
      </w:pPr>
      <w:r w:rsidRPr="7F8EF98D">
        <w:rPr>
          <w:rFonts w:cs="Arial"/>
        </w:rPr>
        <w:t xml:space="preserve">The borough will see increased rates of biodiversity through the protection and enhancement of </w:t>
      </w:r>
      <w:r w:rsidR="70D23C11" w:rsidRPr="7F8EF98D">
        <w:rPr>
          <w:rFonts w:cs="Arial"/>
        </w:rPr>
        <w:t>existing</w:t>
      </w:r>
      <w:r w:rsidRPr="7F8EF98D">
        <w:rPr>
          <w:rFonts w:cs="Arial"/>
        </w:rPr>
        <w:t xml:space="preserve"> green spaces, and the provision of additional spaces alongside development. The green belt and metropolitan open land will continue to be the lungs of the borough through enhancement projects. </w:t>
      </w:r>
    </w:p>
    <w:p w14:paraId="719C728A" w14:textId="77777777" w:rsidR="00274E64" w:rsidRPr="004C31D7" w:rsidRDefault="00274E64" w:rsidP="00750CE8">
      <w:pPr>
        <w:rPr>
          <w:rFonts w:cs="Arial"/>
          <w:szCs w:val="24"/>
        </w:rPr>
      </w:pPr>
    </w:p>
    <w:p w14:paraId="19E314BE" w14:textId="77777777" w:rsidR="00274E64" w:rsidRPr="004C31D7" w:rsidRDefault="00274E64" w:rsidP="00750CE8">
      <w:pPr>
        <w:rPr>
          <w:rFonts w:cs="Arial"/>
          <w:szCs w:val="24"/>
        </w:rPr>
      </w:pPr>
    </w:p>
    <w:p w14:paraId="379F7333" w14:textId="77777777" w:rsidR="00274E64" w:rsidRDefault="00274E64" w:rsidP="00750CE8">
      <w:pPr>
        <w:rPr>
          <w:rFonts w:cs="Arial"/>
          <w:b/>
          <w:bCs/>
          <w:szCs w:val="24"/>
        </w:rPr>
      </w:pPr>
      <w:r>
        <w:rPr>
          <w:rFonts w:cs="Arial"/>
          <w:b/>
          <w:bCs/>
          <w:szCs w:val="24"/>
        </w:rPr>
        <w:br w:type="page"/>
      </w:r>
    </w:p>
    <w:p w14:paraId="7B132B83" w14:textId="38F4EFFE" w:rsidR="00274E64" w:rsidRPr="004C31D7" w:rsidRDefault="00274E64" w:rsidP="001465A7">
      <w:pPr>
        <w:pBdr>
          <w:top w:val="single" w:sz="4" w:space="1" w:color="auto"/>
          <w:left w:val="single" w:sz="4" w:space="4" w:color="auto"/>
          <w:bottom w:val="single" w:sz="4" w:space="1" w:color="auto"/>
          <w:right w:val="single" w:sz="4" w:space="4" w:color="auto"/>
        </w:pBdr>
        <w:rPr>
          <w:rFonts w:cs="Arial"/>
          <w:szCs w:val="24"/>
        </w:rPr>
      </w:pPr>
      <w:r>
        <w:rPr>
          <w:rFonts w:cs="Arial"/>
          <w:b/>
          <w:bCs/>
          <w:szCs w:val="24"/>
        </w:rPr>
        <w:lastRenderedPageBreak/>
        <w:t xml:space="preserve">Draft </w:t>
      </w:r>
      <w:r w:rsidRPr="004C31D7">
        <w:rPr>
          <w:rFonts w:cs="Arial"/>
          <w:b/>
          <w:bCs/>
          <w:szCs w:val="24"/>
        </w:rPr>
        <w:t>Spatial Strategy</w:t>
      </w:r>
      <w:r w:rsidRPr="004C31D7">
        <w:rPr>
          <w:rFonts w:cs="Arial"/>
          <w:szCs w:val="24"/>
        </w:rPr>
        <w:t>:</w:t>
      </w:r>
      <w:r w:rsidR="001465A7">
        <w:rPr>
          <w:rFonts w:cs="Arial"/>
          <w:szCs w:val="24"/>
        </w:rPr>
        <w:t xml:space="preserve"> (note, quantum of development subject to ongoing evidence base work)</w:t>
      </w:r>
    </w:p>
    <w:p w14:paraId="310452EB" w14:textId="77777777" w:rsidR="001465A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29794570" w14:textId="12ED3483"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By 2041, new development and economic growth will provide </w:t>
      </w:r>
      <w:proofErr w:type="gramStart"/>
      <w:r w:rsidRPr="004C31D7">
        <w:rPr>
          <w:rFonts w:cs="Arial"/>
          <w:szCs w:val="24"/>
        </w:rPr>
        <w:t>XX,XXX</w:t>
      </w:r>
      <w:proofErr w:type="gramEnd"/>
      <w:r w:rsidRPr="004C31D7">
        <w:rPr>
          <w:rFonts w:cs="Arial"/>
          <w:szCs w:val="24"/>
        </w:rPr>
        <w:t xml:space="preserve"> new low-carbon homes, create over X,XXX additional new jobs and fund significant local infrastructure improvements that benefit Harrow’s diverse community. </w:t>
      </w:r>
    </w:p>
    <w:p w14:paraId="75DA9C7F"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2C69B57A"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The high-quality carbon neutral design of new development will contribute to local distinctiveness, creating clean, </w:t>
      </w:r>
      <w:proofErr w:type="gramStart"/>
      <w:r w:rsidRPr="004C31D7">
        <w:rPr>
          <w:rFonts w:cs="Arial"/>
          <w:szCs w:val="24"/>
        </w:rPr>
        <w:t>green</w:t>
      </w:r>
      <w:proofErr w:type="gramEnd"/>
      <w:r w:rsidRPr="004C31D7">
        <w:rPr>
          <w:rFonts w:cs="Arial"/>
          <w:szCs w:val="24"/>
        </w:rPr>
        <w:t xml:space="preserve"> and healthy spaces that foster community pride, whilst also delivering on the council’s climate and nature objectives. </w:t>
      </w:r>
    </w:p>
    <w:p w14:paraId="091EFAF5"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6E63D05A"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Comprehensive and coordinated regeneration activity will continue to positively transform the Harrow &amp; Wealdstone Opportunity Area, delivering a minimum of </w:t>
      </w:r>
      <w:proofErr w:type="gramStart"/>
      <w:r w:rsidRPr="004C31D7">
        <w:rPr>
          <w:rFonts w:cs="Arial"/>
          <w:szCs w:val="24"/>
        </w:rPr>
        <w:t>X,XXX</w:t>
      </w:r>
      <w:proofErr w:type="gramEnd"/>
      <w:r w:rsidRPr="004C31D7">
        <w:rPr>
          <w:rFonts w:cs="Arial"/>
          <w:szCs w:val="24"/>
        </w:rPr>
        <w:t xml:space="preserve"> additional new homes, and 1,000 additional new jobs.  </w:t>
      </w:r>
    </w:p>
    <w:p w14:paraId="62ACCA15"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063CEE08"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Harrow town centre will continue to be a vibrant and attractive Metropolitan Centre having benefited from additional arts, leisure, and culture facilities. Adaptable mixed-use and residential development will ensure that there is continued vibrancy in the centre. Employment uses will be bolstered a</w:t>
      </w:r>
      <w:r>
        <w:rPr>
          <w:rFonts w:cs="Arial"/>
          <w:szCs w:val="24"/>
        </w:rPr>
        <w:t>ttracting and retaining</w:t>
      </w:r>
      <w:r w:rsidRPr="004C31D7">
        <w:rPr>
          <w:rFonts w:cs="Arial"/>
          <w:szCs w:val="24"/>
        </w:rPr>
        <w:t xml:space="preserve"> an array of adaptable businesses and workers to the area. The centre will be the primary location for central public services ensuring high-quality services and facilities are accessible to all. The town centre will benefit from increased connectivity with other parts of the borough, and </w:t>
      </w:r>
      <w:r w:rsidRPr="00CC433B">
        <w:rPr>
          <w:rFonts w:cs="Arial"/>
          <w:szCs w:val="24"/>
        </w:rPr>
        <w:t xml:space="preserve">beyond through sustainable transport linkages. </w:t>
      </w:r>
    </w:p>
    <w:p w14:paraId="6928B20A" w14:textId="77777777" w:rsidR="001465A7" w:rsidRPr="00CC433B"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6A845A95"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Wealdstone will strive to become a vibrant centre, with its own distinctive identity. The centre will be a vibrant hub supported by local residents and a strong business community, whose presence has been transformed by the intensification of employment and carefully managed redevelopment</w:t>
      </w:r>
      <w:r w:rsidRPr="004C31D7">
        <w:rPr>
          <w:rFonts w:cs="Arial"/>
          <w:szCs w:val="24"/>
        </w:rPr>
        <w:t xml:space="preserve"> of surrounding industrial estates. </w:t>
      </w:r>
    </w:p>
    <w:p w14:paraId="00C866FF"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7293F060"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The Station Road corridor will have benefited from redevelopment and environmental improvement linking the Wealdstone and Harrow town centres together. </w:t>
      </w:r>
    </w:p>
    <w:p w14:paraId="34D5AF03"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30798272"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Harrow-on-the-Hill Station, Harrow Bus Station and Harrow &amp; Wealdstone Station will be accessible major public transport nodes with step free access. Harrow-on-the-Hill station and surrounding area will benefit from a comprehensive redevelopment providing a new </w:t>
      </w:r>
      <w:r>
        <w:rPr>
          <w:rFonts w:cs="Arial"/>
          <w:szCs w:val="24"/>
        </w:rPr>
        <w:t>focal</w:t>
      </w:r>
      <w:r w:rsidRPr="004C31D7">
        <w:rPr>
          <w:rFonts w:cs="Arial"/>
          <w:szCs w:val="24"/>
        </w:rPr>
        <w:t xml:space="preserve"> point for the Harrow Town Centre comprising retail, leisure, </w:t>
      </w:r>
      <w:proofErr w:type="gramStart"/>
      <w:r w:rsidRPr="004C31D7">
        <w:rPr>
          <w:rFonts w:cs="Arial"/>
          <w:szCs w:val="24"/>
        </w:rPr>
        <w:t>office</w:t>
      </w:r>
      <w:proofErr w:type="gramEnd"/>
      <w:r w:rsidRPr="004C31D7">
        <w:rPr>
          <w:rFonts w:cs="Arial"/>
          <w:szCs w:val="24"/>
        </w:rPr>
        <w:t xml:space="preserve"> and residential uses. This redevelopment will have contributed to a vibrant new character achieving high standards of sustainability, public </w:t>
      </w:r>
      <w:proofErr w:type="gramStart"/>
      <w:r w:rsidRPr="004C31D7">
        <w:rPr>
          <w:rFonts w:cs="Arial"/>
          <w:szCs w:val="24"/>
        </w:rPr>
        <w:t>realm</w:t>
      </w:r>
      <w:proofErr w:type="gramEnd"/>
      <w:r w:rsidRPr="004C31D7">
        <w:rPr>
          <w:rFonts w:cs="Arial"/>
          <w:szCs w:val="24"/>
        </w:rPr>
        <w:t xml:space="preserve"> and residential quality. </w:t>
      </w:r>
    </w:p>
    <w:p w14:paraId="36D4F43E"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408E14B9"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Improved pedestrian connectivity and wayfinding between Harrow town centre and Harrow-on-the-Hill will increase legibility in both locations.</w:t>
      </w:r>
    </w:p>
    <w:p w14:paraId="0B4A2B35"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25BDD7B9"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The borough’s other town centres will accommodate development opportunities commensurate to their character, role, and function.</w:t>
      </w:r>
    </w:p>
    <w:p w14:paraId="34128498"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7F0997DD"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lastRenderedPageBreak/>
        <w:t xml:space="preserve">The Borough’s Metropolitan Open Land, Green Belt and other open space will be maintained and enhanced as an interconnected network of green infrastructure and open watercourses supporting biodiversity and healthy lifestyles. Access to green infrastructure will be enhanced. </w:t>
      </w:r>
    </w:p>
    <w:p w14:paraId="469463C8"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2E13FA50"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The quality and accessibility of open space will be maintained, and better provision for children’s and teenagers’ accessible recreation and </w:t>
      </w:r>
      <w:proofErr w:type="spellStart"/>
      <w:r w:rsidRPr="004C31D7">
        <w:rPr>
          <w:rFonts w:cs="Arial"/>
          <w:szCs w:val="24"/>
        </w:rPr>
        <w:t>playspace</w:t>
      </w:r>
      <w:proofErr w:type="spellEnd"/>
      <w:r w:rsidRPr="004C31D7">
        <w:rPr>
          <w:rFonts w:cs="Arial"/>
          <w:szCs w:val="24"/>
        </w:rPr>
        <w:t xml:space="preserve"> will have been made. </w:t>
      </w:r>
    </w:p>
    <w:p w14:paraId="2AD18F08"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4F76A0CF"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Harrow’s </w:t>
      </w:r>
      <w:r w:rsidRPr="00CC433B">
        <w:rPr>
          <w:rFonts w:cs="Arial"/>
          <w:szCs w:val="24"/>
        </w:rPr>
        <w:t xml:space="preserve">identified heritage assets and historic environment  </w:t>
      </w:r>
      <w:r w:rsidRPr="00CC433B">
        <w:rPr>
          <w:rFonts w:cs="Arial"/>
          <w:strike/>
          <w:szCs w:val="24"/>
        </w:rPr>
        <w:t xml:space="preserve"> </w:t>
      </w:r>
      <w:r w:rsidRPr="00CC433B">
        <w:rPr>
          <w:rFonts w:cs="Arial"/>
          <w:szCs w:val="24"/>
        </w:rPr>
        <w:t xml:space="preserve">will continue to be valued, conserved, </w:t>
      </w:r>
      <w:proofErr w:type="gramStart"/>
      <w:r w:rsidRPr="00CC433B">
        <w:rPr>
          <w:rFonts w:cs="Arial"/>
          <w:szCs w:val="24"/>
        </w:rPr>
        <w:t>enhanced</w:t>
      </w:r>
      <w:proofErr w:type="gramEnd"/>
      <w:r w:rsidRPr="00CC433B">
        <w:rPr>
          <w:rFonts w:cs="Arial"/>
          <w:szCs w:val="24"/>
        </w:rPr>
        <w:t xml:space="preserve"> and celebrated. Areas of special character and architectural significance will be protected. </w:t>
      </w:r>
    </w:p>
    <w:p w14:paraId="633D28A1" w14:textId="77777777" w:rsidR="001465A7" w:rsidRPr="00CC433B"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1504058F"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CC433B">
        <w:rPr>
          <w:rFonts w:cs="Arial"/>
          <w:szCs w:val="24"/>
        </w:rPr>
        <w:t>North Harrow District Centre</w:t>
      </w:r>
      <w:r w:rsidRPr="004C31D7">
        <w:rPr>
          <w:rFonts w:cs="Arial"/>
          <w:szCs w:val="24"/>
        </w:rPr>
        <w:t xml:space="preserve"> will be restored as a vibrant local shopping and service centre meeting the needs of residents and supporting local business.</w:t>
      </w:r>
    </w:p>
    <w:p w14:paraId="607DE7AD"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5656090D"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The vitality and character of Pinner High Street will have been preserved and enhanced. </w:t>
      </w:r>
    </w:p>
    <w:p w14:paraId="48D5A0CF"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3DA62A37"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Pr>
          <w:rFonts w:cs="Arial"/>
          <w:szCs w:val="24"/>
        </w:rPr>
        <w:t>In</w:t>
      </w:r>
      <w:r w:rsidRPr="004C31D7">
        <w:rPr>
          <w:rFonts w:cs="Arial"/>
          <w:szCs w:val="24"/>
        </w:rPr>
        <w:t xml:space="preserve"> Stanmore, mixed use retail and residential development will have strengthened its function as a District Centre, access to natural green space will be maintained and accessible to residents and visitors.</w:t>
      </w:r>
    </w:p>
    <w:p w14:paraId="42E1E097"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2AAE4870"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Partnership working with the neighbouring boroughs of Barnet and Brent will have secured co-ordinated public realm enhancements to Edgware, Burnt Oak, </w:t>
      </w:r>
      <w:proofErr w:type="gramStart"/>
      <w:r w:rsidRPr="004C31D7">
        <w:rPr>
          <w:rFonts w:cs="Arial"/>
          <w:szCs w:val="24"/>
        </w:rPr>
        <w:t>Kingsbury</w:t>
      </w:r>
      <w:proofErr w:type="gramEnd"/>
      <w:r w:rsidRPr="004C31D7">
        <w:rPr>
          <w:rFonts w:cs="Arial"/>
          <w:szCs w:val="24"/>
        </w:rPr>
        <w:t xml:space="preserve"> and Kenton centres, and will have provided improved connectivity between Kenton Station and Northwick Park Station. </w:t>
      </w:r>
    </w:p>
    <w:p w14:paraId="21FC4389"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7B1DBCF6"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Appropriate development will occur on small, brownfield sites in sustainable locations </w:t>
      </w:r>
      <w:r w:rsidRPr="00CC433B">
        <w:rPr>
          <w:rFonts w:cs="Arial"/>
          <w:szCs w:val="24"/>
        </w:rPr>
        <w:t>close to town centres, and train and underground stations.</w:t>
      </w:r>
    </w:p>
    <w:p w14:paraId="507D7505" w14:textId="77777777" w:rsidR="001465A7" w:rsidRPr="00CC433B"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3EE72620"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The leafy, suburban character of the Borough’s residential </w:t>
      </w:r>
      <w:r>
        <w:rPr>
          <w:rFonts w:cs="Arial"/>
          <w:szCs w:val="24"/>
        </w:rPr>
        <w:t xml:space="preserve">Metroland </w:t>
      </w:r>
      <w:r w:rsidRPr="004C31D7">
        <w:rPr>
          <w:rFonts w:cs="Arial"/>
          <w:szCs w:val="24"/>
        </w:rPr>
        <w:t>areas</w:t>
      </w:r>
      <w:r>
        <w:rPr>
          <w:rFonts w:cs="Arial"/>
          <w:szCs w:val="24"/>
        </w:rPr>
        <w:t>,</w:t>
      </w:r>
      <w:r w:rsidRPr="004C31D7">
        <w:rPr>
          <w:rFonts w:cs="Arial"/>
          <w:szCs w:val="24"/>
        </w:rPr>
        <w:t xml:space="preserve"> outside sustainable locations</w:t>
      </w:r>
      <w:r>
        <w:rPr>
          <w:rFonts w:cs="Arial"/>
          <w:szCs w:val="24"/>
        </w:rPr>
        <w:t>,</w:t>
      </w:r>
      <w:r w:rsidRPr="004C31D7">
        <w:rPr>
          <w:rFonts w:cs="Arial"/>
          <w:szCs w:val="24"/>
        </w:rPr>
        <w:t xml:space="preserve"> will have been safeguarded as areas of low density, family housing. </w:t>
      </w:r>
    </w:p>
    <w:p w14:paraId="133253BD"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44AE5DBC"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Optimising development opportunities on sites across the Borough will provide high quality housing to suit the needs of a range of residents, while respecting the appearance of residential character areas.</w:t>
      </w:r>
    </w:p>
    <w:p w14:paraId="363FEE0B"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704ED367" w14:textId="77777777" w:rsidR="00274E64" w:rsidRDefault="00274E64" w:rsidP="001465A7">
      <w:pPr>
        <w:pBdr>
          <w:top w:val="single" w:sz="4" w:space="1" w:color="auto"/>
          <w:left w:val="single" w:sz="4" w:space="4" w:color="auto"/>
          <w:bottom w:val="single" w:sz="4" w:space="1" w:color="auto"/>
          <w:right w:val="single" w:sz="4" w:space="4" w:color="auto"/>
        </w:pBdr>
        <w:rPr>
          <w:rFonts w:cs="Arial"/>
          <w:szCs w:val="24"/>
        </w:rPr>
      </w:pPr>
      <w:r w:rsidRPr="004C31D7">
        <w:rPr>
          <w:rFonts w:cs="Arial"/>
          <w:szCs w:val="24"/>
        </w:rPr>
        <w:t xml:space="preserve">Employment land will be directed to appropriate locations remaining flexible and adaptable to meet current and future needs. A sufficient supply of industrial land will be provided and maintained to meet current and future needs. </w:t>
      </w:r>
    </w:p>
    <w:p w14:paraId="725E2DFB" w14:textId="77777777" w:rsidR="001465A7" w:rsidRPr="004C31D7" w:rsidRDefault="001465A7" w:rsidP="001465A7">
      <w:pPr>
        <w:pBdr>
          <w:top w:val="single" w:sz="4" w:space="1" w:color="auto"/>
          <w:left w:val="single" w:sz="4" w:space="4" w:color="auto"/>
          <w:bottom w:val="single" w:sz="4" w:space="1" w:color="auto"/>
          <w:right w:val="single" w:sz="4" w:space="4" w:color="auto"/>
        </w:pBdr>
        <w:rPr>
          <w:rFonts w:cs="Arial"/>
          <w:szCs w:val="24"/>
        </w:rPr>
      </w:pPr>
    </w:p>
    <w:p w14:paraId="1B111C05" w14:textId="26BA9940" w:rsidR="00274E64" w:rsidRDefault="00274E64" w:rsidP="7F8EF98D">
      <w:pPr>
        <w:pBdr>
          <w:top w:val="single" w:sz="4" w:space="1" w:color="auto"/>
          <w:left w:val="single" w:sz="4" w:space="4" w:color="auto"/>
          <w:bottom w:val="single" w:sz="4" w:space="1" w:color="auto"/>
          <w:right w:val="single" w:sz="4" w:space="4" w:color="auto"/>
        </w:pBdr>
        <w:rPr>
          <w:rFonts w:cs="Arial"/>
        </w:rPr>
      </w:pPr>
      <w:r w:rsidRPr="7F8EF98D">
        <w:rPr>
          <w:rFonts w:cs="Arial"/>
        </w:rPr>
        <w:t xml:space="preserve">Harrow will maintain or increase its market share of retail expenditure to secure the vitality and viability of the Borough’s town centre network and </w:t>
      </w:r>
      <w:r w:rsidRPr="3D63DEF7">
        <w:rPr>
          <w:rFonts w:cs="Arial"/>
        </w:rPr>
        <w:t>meet</w:t>
      </w:r>
      <w:r w:rsidRPr="7F8EF98D">
        <w:rPr>
          <w:rFonts w:cs="Arial"/>
        </w:rPr>
        <w:t xml:space="preserve"> local needs.</w:t>
      </w:r>
    </w:p>
    <w:p w14:paraId="7A6C9A32" w14:textId="77777777" w:rsidR="00274E64" w:rsidRPr="009F5554" w:rsidRDefault="00274E64" w:rsidP="00750CE8">
      <w:pPr>
        <w:rPr>
          <w:rFonts w:cs="Arial"/>
          <w:szCs w:val="24"/>
        </w:rPr>
      </w:pPr>
    </w:p>
    <w:p w14:paraId="33645AB7" w14:textId="77777777" w:rsidR="00274E64" w:rsidRDefault="00274E64" w:rsidP="00274E64">
      <w:pPr>
        <w:rPr>
          <w:rFonts w:cs="Arial"/>
          <w:b/>
          <w:bCs/>
          <w:szCs w:val="24"/>
        </w:rPr>
      </w:pPr>
      <w:r>
        <w:rPr>
          <w:rFonts w:cs="Arial"/>
          <w:b/>
          <w:bCs/>
          <w:szCs w:val="24"/>
        </w:rPr>
        <w:br w:type="page"/>
      </w:r>
    </w:p>
    <w:p w14:paraId="2BF8DD59" w14:textId="77777777" w:rsidR="00274E64" w:rsidRPr="001465A7" w:rsidRDefault="00274E64" w:rsidP="00274E64">
      <w:pPr>
        <w:rPr>
          <w:rFonts w:cs="Arial"/>
          <w:b/>
          <w:bCs/>
          <w:szCs w:val="24"/>
        </w:rPr>
      </w:pPr>
      <w:r w:rsidRPr="001465A7">
        <w:rPr>
          <w:rFonts w:cs="Arial"/>
          <w:b/>
          <w:bCs/>
          <w:szCs w:val="24"/>
        </w:rPr>
        <w:lastRenderedPageBreak/>
        <w:t>Strategic Objectives:</w:t>
      </w:r>
    </w:p>
    <w:p w14:paraId="659B09D9" w14:textId="77777777" w:rsidR="001465A7" w:rsidRPr="001465A7" w:rsidRDefault="001465A7" w:rsidP="00274E64">
      <w:pPr>
        <w:rPr>
          <w:rFonts w:cs="Arial"/>
          <w:szCs w:val="24"/>
        </w:rPr>
      </w:pPr>
    </w:p>
    <w:p w14:paraId="05506206" w14:textId="2216F3FE" w:rsidR="00274E64" w:rsidRPr="001465A7" w:rsidRDefault="00274E64" w:rsidP="00274E64">
      <w:pPr>
        <w:rPr>
          <w:rFonts w:cs="Arial"/>
          <w:szCs w:val="24"/>
        </w:rPr>
      </w:pPr>
      <w:r w:rsidRPr="001465A7">
        <w:rPr>
          <w:rFonts w:cs="Arial"/>
          <w:szCs w:val="24"/>
        </w:rPr>
        <w:t>Introduction:  These strategic objectives form a link between the Vision for Harrow and the spatial strategy. They address the key challenges facing the Borough presently and over the long-term, and represent the main outcomes sought through the implementation of the Local Plan.</w:t>
      </w:r>
    </w:p>
    <w:p w14:paraId="2D72C6F0" w14:textId="77777777" w:rsidR="001465A7" w:rsidRPr="001465A7" w:rsidRDefault="001465A7" w:rsidP="00274E64">
      <w:pPr>
        <w:rPr>
          <w:rFonts w:cs="Arial"/>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47"/>
      </w:tblGrid>
      <w:tr w:rsidR="00274E64" w:rsidRPr="001465A7" w14:paraId="73F57D6D" w14:textId="77777777" w:rsidTr="001465A7">
        <w:trPr>
          <w:cantSplit/>
        </w:trPr>
        <w:tc>
          <w:tcPr>
            <w:tcW w:w="1980" w:type="dxa"/>
          </w:tcPr>
          <w:p w14:paraId="77CD269D" w14:textId="77777777" w:rsidR="00274E64" w:rsidRPr="001465A7" w:rsidRDefault="00274E64">
            <w:pPr>
              <w:rPr>
                <w:rFonts w:cs="Arial"/>
                <w:b/>
                <w:bCs/>
                <w:szCs w:val="24"/>
              </w:rPr>
            </w:pPr>
            <w:r w:rsidRPr="001465A7">
              <w:rPr>
                <w:rFonts w:cs="Arial"/>
                <w:b/>
                <w:bCs/>
                <w:szCs w:val="24"/>
              </w:rPr>
              <w:t>Our Local Identity</w:t>
            </w:r>
          </w:p>
          <w:p w14:paraId="144F5C35" w14:textId="77777777" w:rsidR="00274E64" w:rsidRPr="001465A7" w:rsidRDefault="00274E64">
            <w:pPr>
              <w:rPr>
                <w:rFonts w:cs="Arial"/>
                <w:szCs w:val="24"/>
              </w:rPr>
            </w:pPr>
          </w:p>
          <w:p w14:paraId="43912ACE" w14:textId="77777777" w:rsidR="00274E64" w:rsidRPr="001465A7" w:rsidRDefault="00274E64">
            <w:pPr>
              <w:rPr>
                <w:rFonts w:cs="Arial"/>
                <w:szCs w:val="24"/>
              </w:rPr>
            </w:pPr>
          </w:p>
        </w:tc>
        <w:tc>
          <w:tcPr>
            <w:tcW w:w="7036" w:type="dxa"/>
          </w:tcPr>
          <w:p w14:paraId="3323FA9A" w14:textId="77777777" w:rsidR="00274E64" w:rsidRPr="001465A7" w:rsidRDefault="00274E64">
            <w:pPr>
              <w:rPr>
                <w:rFonts w:cs="Arial"/>
                <w:szCs w:val="24"/>
              </w:rPr>
            </w:pPr>
            <w:r w:rsidRPr="001465A7">
              <w:rPr>
                <w:rFonts w:cs="Arial"/>
                <w:szCs w:val="24"/>
              </w:rPr>
              <w:t xml:space="preserve">Retain, </w:t>
            </w:r>
            <w:proofErr w:type="gramStart"/>
            <w:r w:rsidRPr="001465A7">
              <w:rPr>
                <w:rFonts w:cs="Arial"/>
                <w:szCs w:val="24"/>
              </w:rPr>
              <w:t>reinvigorate</w:t>
            </w:r>
            <w:proofErr w:type="gramEnd"/>
            <w:r w:rsidRPr="001465A7">
              <w:rPr>
                <w:rFonts w:cs="Arial"/>
                <w:szCs w:val="24"/>
              </w:rPr>
              <w:t xml:space="preserve"> and reinforce the local distinctive character of Harrow’s communities by ensuring new development responds positively to the special attributes of its local context.</w:t>
            </w:r>
          </w:p>
          <w:p w14:paraId="0651B0A7" w14:textId="77777777" w:rsidR="00274E64" w:rsidRPr="001465A7" w:rsidRDefault="00274E64">
            <w:pPr>
              <w:rPr>
                <w:rFonts w:cs="Arial"/>
                <w:szCs w:val="24"/>
              </w:rPr>
            </w:pPr>
          </w:p>
          <w:p w14:paraId="06F2ADD2" w14:textId="77777777" w:rsidR="00274E64" w:rsidRPr="001465A7" w:rsidRDefault="00274E64">
            <w:pPr>
              <w:rPr>
                <w:rFonts w:cs="Arial"/>
                <w:szCs w:val="24"/>
              </w:rPr>
            </w:pPr>
            <w:r w:rsidRPr="001465A7">
              <w:rPr>
                <w:rFonts w:cs="Arial"/>
                <w:szCs w:val="24"/>
              </w:rPr>
              <w:t xml:space="preserve">Respecting the cultural, historic, </w:t>
            </w:r>
            <w:proofErr w:type="gramStart"/>
            <w:r w:rsidRPr="001465A7">
              <w:rPr>
                <w:rFonts w:cs="Arial"/>
                <w:szCs w:val="24"/>
              </w:rPr>
              <w:t>built</w:t>
            </w:r>
            <w:proofErr w:type="gramEnd"/>
            <w:r w:rsidRPr="001465A7">
              <w:rPr>
                <w:rFonts w:cs="Arial"/>
                <w:szCs w:val="24"/>
              </w:rPr>
              <w:t xml:space="preserve"> and natural environments</w:t>
            </w:r>
          </w:p>
          <w:p w14:paraId="2702F8C7" w14:textId="77777777" w:rsidR="00274E64" w:rsidRPr="001465A7" w:rsidRDefault="00274E64">
            <w:pPr>
              <w:rPr>
                <w:rFonts w:cs="Arial"/>
                <w:szCs w:val="24"/>
              </w:rPr>
            </w:pPr>
          </w:p>
          <w:p w14:paraId="380EB991" w14:textId="77777777" w:rsidR="00274E64" w:rsidRPr="001465A7" w:rsidRDefault="00274E64">
            <w:pPr>
              <w:rPr>
                <w:rFonts w:cs="Arial"/>
                <w:szCs w:val="24"/>
              </w:rPr>
            </w:pPr>
            <w:r w:rsidRPr="001465A7">
              <w:rPr>
                <w:rFonts w:cs="Arial"/>
                <w:szCs w:val="24"/>
              </w:rPr>
              <w:t xml:space="preserve">Ensuring new development is designed, </w:t>
            </w:r>
            <w:proofErr w:type="gramStart"/>
            <w:r w:rsidRPr="001465A7">
              <w:rPr>
                <w:rFonts w:cs="Arial"/>
                <w:szCs w:val="24"/>
              </w:rPr>
              <w:t>constructed</w:t>
            </w:r>
            <w:proofErr w:type="gramEnd"/>
            <w:r w:rsidRPr="001465A7">
              <w:rPr>
                <w:rFonts w:cs="Arial"/>
                <w:szCs w:val="24"/>
              </w:rPr>
              <w:t xml:space="preserve"> and maintained to a high standard.</w:t>
            </w:r>
          </w:p>
          <w:p w14:paraId="27F1D043" w14:textId="77777777" w:rsidR="00274E64" w:rsidRPr="001465A7" w:rsidRDefault="00274E64">
            <w:pPr>
              <w:rPr>
                <w:rFonts w:cs="Arial"/>
                <w:szCs w:val="24"/>
              </w:rPr>
            </w:pPr>
          </w:p>
          <w:p w14:paraId="02CF52FD" w14:textId="77777777" w:rsidR="00274E64" w:rsidRPr="001465A7" w:rsidRDefault="00274E64">
            <w:pPr>
              <w:rPr>
                <w:rFonts w:cs="Arial"/>
                <w:szCs w:val="24"/>
              </w:rPr>
            </w:pPr>
            <w:r w:rsidRPr="001465A7">
              <w:rPr>
                <w:rFonts w:cs="Arial"/>
                <w:szCs w:val="24"/>
              </w:rPr>
              <w:t>Conserve and enhance the historic and cultural environment, promoting understanding and appreciation of it. Working with stakeholders to sustain the value of local heritage assets including the international value of Harrow School.</w:t>
            </w:r>
          </w:p>
          <w:p w14:paraId="66AF73AC" w14:textId="77777777" w:rsidR="00274E64" w:rsidRPr="001465A7" w:rsidRDefault="00274E64">
            <w:pPr>
              <w:rPr>
                <w:rFonts w:cs="Arial"/>
                <w:szCs w:val="24"/>
              </w:rPr>
            </w:pPr>
          </w:p>
        </w:tc>
      </w:tr>
      <w:tr w:rsidR="00274E64" w:rsidRPr="001465A7" w14:paraId="5C6B1923" w14:textId="77777777" w:rsidTr="001465A7">
        <w:trPr>
          <w:cantSplit/>
        </w:trPr>
        <w:tc>
          <w:tcPr>
            <w:tcW w:w="1980" w:type="dxa"/>
          </w:tcPr>
          <w:p w14:paraId="2BD9BDAD" w14:textId="77777777" w:rsidR="00274E64" w:rsidRPr="001465A7" w:rsidRDefault="00274E64">
            <w:pPr>
              <w:rPr>
                <w:rFonts w:cs="Arial"/>
                <w:b/>
                <w:bCs/>
                <w:szCs w:val="24"/>
              </w:rPr>
            </w:pPr>
            <w:r w:rsidRPr="001465A7">
              <w:rPr>
                <w:rFonts w:cs="Arial"/>
                <w:b/>
                <w:bCs/>
                <w:szCs w:val="24"/>
              </w:rPr>
              <w:t>Infrastructure</w:t>
            </w:r>
          </w:p>
          <w:p w14:paraId="5B4E7215" w14:textId="77777777" w:rsidR="00274E64" w:rsidRPr="001465A7" w:rsidRDefault="00274E64">
            <w:pPr>
              <w:rPr>
                <w:rFonts w:cs="Arial"/>
                <w:szCs w:val="24"/>
              </w:rPr>
            </w:pPr>
          </w:p>
          <w:p w14:paraId="6B7B8078" w14:textId="77777777" w:rsidR="00274E64" w:rsidRPr="001465A7" w:rsidRDefault="00274E64">
            <w:pPr>
              <w:rPr>
                <w:rFonts w:cs="Arial"/>
                <w:szCs w:val="24"/>
              </w:rPr>
            </w:pPr>
          </w:p>
        </w:tc>
        <w:tc>
          <w:tcPr>
            <w:tcW w:w="7036" w:type="dxa"/>
          </w:tcPr>
          <w:p w14:paraId="7BFC6A8F" w14:textId="77777777" w:rsidR="00274E64" w:rsidRPr="001465A7" w:rsidRDefault="00274E64">
            <w:pPr>
              <w:rPr>
                <w:rFonts w:cs="Arial"/>
                <w:szCs w:val="24"/>
              </w:rPr>
            </w:pPr>
            <w:r w:rsidRPr="001465A7">
              <w:rPr>
                <w:rFonts w:cs="Arial"/>
                <w:szCs w:val="24"/>
              </w:rPr>
              <w:t xml:space="preserve">Harrow's infrastructure will continue to meet current and future demand through high quality and timely provision.  Development contributions will be used to ensure that the community continue to enjoy access to all forms of social and physical infrastructure, including education, health care, </w:t>
            </w:r>
            <w:proofErr w:type="gramStart"/>
            <w:r w:rsidRPr="001465A7">
              <w:rPr>
                <w:rFonts w:cs="Arial"/>
                <w:szCs w:val="24"/>
              </w:rPr>
              <w:t>recreation</w:t>
            </w:r>
            <w:proofErr w:type="gramEnd"/>
            <w:r w:rsidRPr="001465A7">
              <w:rPr>
                <w:rFonts w:cs="Arial"/>
                <w:szCs w:val="24"/>
              </w:rPr>
              <w:t xml:space="preserve"> and cultural facilities. </w:t>
            </w:r>
          </w:p>
          <w:p w14:paraId="1D90F09B" w14:textId="77777777" w:rsidR="00274E64" w:rsidRPr="001465A7" w:rsidRDefault="00274E64">
            <w:pPr>
              <w:rPr>
                <w:rFonts w:cs="Arial"/>
                <w:szCs w:val="24"/>
              </w:rPr>
            </w:pPr>
          </w:p>
        </w:tc>
      </w:tr>
      <w:tr w:rsidR="00274E64" w:rsidRPr="001465A7" w14:paraId="6D726AF3" w14:textId="77777777" w:rsidTr="001465A7">
        <w:trPr>
          <w:cantSplit/>
        </w:trPr>
        <w:tc>
          <w:tcPr>
            <w:tcW w:w="1980" w:type="dxa"/>
          </w:tcPr>
          <w:p w14:paraId="13B041B6" w14:textId="77777777" w:rsidR="00274E64" w:rsidRPr="001465A7" w:rsidRDefault="00274E64">
            <w:pPr>
              <w:rPr>
                <w:rFonts w:cs="Arial"/>
                <w:b/>
                <w:bCs/>
                <w:szCs w:val="24"/>
              </w:rPr>
            </w:pPr>
            <w:r w:rsidRPr="001465A7">
              <w:rPr>
                <w:rFonts w:cs="Arial"/>
                <w:b/>
                <w:bCs/>
                <w:szCs w:val="24"/>
              </w:rPr>
              <w:t>Transport</w:t>
            </w:r>
          </w:p>
          <w:p w14:paraId="6BD5AF77" w14:textId="77777777" w:rsidR="00274E64" w:rsidRPr="001465A7" w:rsidRDefault="00274E64">
            <w:pPr>
              <w:rPr>
                <w:rFonts w:cs="Arial"/>
                <w:szCs w:val="24"/>
              </w:rPr>
            </w:pPr>
          </w:p>
          <w:p w14:paraId="7FB96BF3" w14:textId="77777777" w:rsidR="00274E64" w:rsidRPr="001465A7" w:rsidRDefault="00274E64">
            <w:pPr>
              <w:rPr>
                <w:rFonts w:cs="Arial"/>
                <w:szCs w:val="24"/>
              </w:rPr>
            </w:pPr>
          </w:p>
        </w:tc>
        <w:tc>
          <w:tcPr>
            <w:tcW w:w="7036" w:type="dxa"/>
          </w:tcPr>
          <w:p w14:paraId="076F5612" w14:textId="77777777" w:rsidR="00274E64" w:rsidRPr="001465A7" w:rsidRDefault="00274E64">
            <w:pPr>
              <w:rPr>
                <w:rFonts w:cs="Arial"/>
                <w:szCs w:val="24"/>
              </w:rPr>
            </w:pPr>
            <w:r w:rsidRPr="001465A7">
              <w:rPr>
                <w:rFonts w:cs="Arial"/>
                <w:szCs w:val="24"/>
              </w:rPr>
              <w:t xml:space="preserve">Sustainable transport infrastructure will be delivered to ensure there are healthy and safe alternatives to private vehicles. The council will facilitate modal shift away from fossil fuel car use. </w:t>
            </w:r>
          </w:p>
          <w:p w14:paraId="5545AFB4" w14:textId="77777777" w:rsidR="00274E64" w:rsidRPr="001465A7" w:rsidRDefault="00274E64">
            <w:pPr>
              <w:rPr>
                <w:rFonts w:cs="Arial"/>
                <w:szCs w:val="24"/>
              </w:rPr>
            </w:pPr>
          </w:p>
        </w:tc>
      </w:tr>
      <w:tr w:rsidR="00274E64" w:rsidRPr="001465A7" w14:paraId="40721542" w14:textId="77777777" w:rsidTr="001465A7">
        <w:trPr>
          <w:cantSplit/>
        </w:trPr>
        <w:tc>
          <w:tcPr>
            <w:tcW w:w="1980" w:type="dxa"/>
          </w:tcPr>
          <w:p w14:paraId="597DCEF5" w14:textId="77777777" w:rsidR="00274E64" w:rsidRPr="001465A7" w:rsidRDefault="00274E64">
            <w:pPr>
              <w:rPr>
                <w:rFonts w:cs="Arial"/>
                <w:b/>
                <w:bCs/>
                <w:szCs w:val="24"/>
              </w:rPr>
            </w:pPr>
            <w:r w:rsidRPr="001465A7">
              <w:rPr>
                <w:rFonts w:cs="Arial"/>
                <w:b/>
                <w:bCs/>
                <w:szCs w:val="24"/>
              </w:rPr>
              <w:t>Air quality</w:t>
            </w:r>
          </w:p>
          <w:p w14:paraId="4A796F62" w14:textId="77777777" w:rsidR="00274E64" w:rsidRPr="001465A7" w:rsidRDefault="00274E64">
            <w:pPr>
              <w:rPr>
                <w:rFonts w:cs="Arial"/>
                <w:szCs w:val="24"/>
              </w:rPr>
            </w:pPr>
          </w:p>
          <w:p w14:paraId="2FB2EF66" w14:textId="77777777" w:rsidR="00274E64" w:rsidRPr="001465A7" w:rsidRDefault="00274E64">
            <w:pPr>
              <w:rPr>
                <w:rFonts w:cs="Arial"/>
                <w:szCs w:val="24"/>
              </w:rPr>
            </w:pPr>
          </w:p>
        </w:tc>
        <w:tc>
          <w:tcPr>
            <w:tcW w:w="7036" w:type="dxa"/>
          </w:tcPr>
          <w:p w14:paraId="7E96EC00" w14:textId="77777777" w:rsidR="00274E64" w:rsidRPr="001465A7" w:rsidRDefault="00274E64">
            <w:pPr>
              <w:rPr>
                <w:rFonts w:cs="Arial"/>
                <w:szCs w:val="24"/>
              </w:rPr>
            </w:pPr>
            <w:r w:rsidRPr="001465A7">
              <w:rPr>
                <w:rFonts w:cs="Arial"/>
                <w:szCs w:val="24"/>
              </w:rPr>
              <w:t xml:space="preserve">Air quality improvements will continue to be made through high quality design, spatial </w:t>
            </w:r>
            <w:proofErr w:type="gramStart"/>
            <w:r w:rsidRPr="001465A7">
              <w:rPr>
                <w:rFonts w:cs="Arial"/>
                <w:szCs w:val="24"/>
              </w:rPr>
              <w:t>planning</w:t>
            </w:r>
            <w:proofErr w:type="gramEnd"/>
            <w:r w:rsidRPr="001465A7">
              <w:rPr>
                <w:rFonts w:cs="Arial"/>
                <w:szCs w:val="24"/>
              </w:rPr>
              <w:t xml:space="preserve"> and sustainable infrastructure improvements. </w:t>
            </w:r>
          </w:p>
          <w:p w14:paraId="7EE8B4EE" w14:textId="77777777" w:rsidR="00274E64" w:rsidRPr="001465A7" w:rsidRDefault="00274E64">
            <w:pPr>
              <w:rPr>
                <w:rFonts w:cs="Arial"/>
                <w:szCs w:val="24"/>
              </w:rPr>
            </w:pPr>
          </w:p>
        </w:tc>
      </w:tr>
      <w:tr w:rsidR="00274E64" w:rsidRPr="001465A7" w14:paraId="31990B4E" w14:textId="77777777" w:rsidTr="001465A7">
        <w:trPr>
          <w:cantSplit/>
        </w:trPr>
        <w:tc>
          <w:tcPr>
            <w:tcW w:w="1980" w:type="dxa"/>
          </w:tcPr>
          <w:p w14:paraId="73A6561F" w14:textId="77777777" w:rsidR="00274E64" w:rsidRPr="001465A7" w:rsidRDefault="00274E64">
            <w:pPr>
              <w:rPr>
                <w:rFonts w:cs="Arial"/>
                <w:b/>
                <w:bCs/>
                <w:szCs w:val="24"/>
              </w:rPr>
            </w:pPr>
            <w:r w:rsidRPr="001465A7">
              <w:rPr>
                <w:rFonts w:cs="Arial"/>
                <w:b/>
                <w:bCs/>
                <w:szCs w:val="24"/>
              </w:rPr>
              <w:t>Open Space</w:t>
            </w:r>
          </w:p>
          <w:p w14:paraId="4F42D899" w14:textId="77777777" w:rsidR="00274E64" w:rsidRPr="001465A7" w:rsidRDefault="00274E64">
            <w:pPr>
              <w:rPr>
                <w:rFonts w:cs="Arial"/>
                <w:szCs w:val="24"/>
              </w:rPr>
            </w:pPr>
          </w:p>
        </w:tc>
        <w:tc>
          <w:tcPr>
            <w:tcW w:w="7036" w:type="dxa"/>
          </w:tcPr>
          <w:p w14:paraId="527C50CE" w14:textId="77777777" w:rsidR="00274E64" w:rsidRPr="001465A7" w:rsidRDefault="00274E64">
            <w:pPr>
              <w:rPr>
                <w:rFonts w:cs="Arial"/>
                <w:szCs w:val="24"/>
              </w:rPr>
            </w:pPr>
            <w:r w:rsidRPr="001465A7">
              <w:rPr>
                <w:rFonts w:cs="Arial"/>
                <w:szCs w:val="24"/>
              </w:rPr>
              <w:t xml:space="preserve">The quality of existing open space will be improved, and new open space provision will be facilitated. Public access to open space will be increased. </w:t>
            </w:r>
          </w:p>
          <w:p w14:paraId="0634C5E8" w14:textId="77777777" w:rsidR="00274E64" w:rsidRPr="001465A7" w:rsidRDefault="00274E64">
            <w:pPr>
              <w:rPr>
                <w:rFonts w:cs="Arial"/>
                <w:szCs w:val="24"/>
              </w:rPr>
            </w:pPr>
          </w:p>
        </w:tc>
      </w:tr>
      <w:tr w:rsidR="00274E64" w:rsidRPr="001465A7" w14:paraId="7DE86B6C" w14:textId="77777777" w:rsidTr="001465A7">
        <w:trPr>
          <w:cantSplit/>
        </w:trPr>
        <w:tc>
          <w:tcPr>
            <w:tcW w:w="1980" w:type="dxa"/>
          </w:tcPr>
          <w:p w14:paraId="575387C0" w14:textId="77777777" w:rsidR="00274E64" w:rsidRPr="001465A7" w:rsidRDefault="00274E64">
            <w:pPr>
              <w:rPr>
                <w:rFonts w:cs="Arial"/>
                <w:b/>
                <w:bCs/>
                <w:szCs w:val="24"/>
              </w:rPr>
            </w:pPr>
            <w:r w:rsidRPr="001465A7">
              <w:rPr>
                <w:rFonts w:cs="Arial"/>
                <w:b/>
                <w:bCs/>
                <w:szCs w:val="24"/>
              </w:rPr>
              <w:t>Biodiversity</w:t>
            </w:r>
          </w:p>
          <w:p w14:paraId="3A8BB77A" w14:textId="77777777" w:rsidR="00274E64" w:rsidRPr="001465A7" w:rsidRDefault="00274E64">
            <w:pPr>
              <w:rPr>
                <w:rFonts w:cs="Arial"/>
                <w:szCs w:val="24"/>
              </w:rPr>
            </w:pPr>
          </w:p>
          <w:p w14:paraId="1D0A9E49" w14:textId="77777777" w:rsidR="00274E64" w:rsidRPr="001465A7" w:rsidRDefault="00274E64">
            <w:pPr>
              <w:rPr>
                <w:rFonts w:cs="Arial"/>
                <w:szCs w:val="24"/>
              </w:rPr>
            </w:pPr>
          </w:p>
        </w:tc>
        <w:tc>
          <w:tcPr>
            <w:tcW w:w="7036" w:type="dxa"/>
          </w:tcPr>
          <w:p w14:paraId="3B671DA1" w14:textId="77777777" w:rsidR="00274E64" w:rsidRPr="001465A7" w:rsidRDefault="00274E64">
            <w:pPr>
              <w:rPr>
                <w:rFonts w:cs="Arial"/>
                <w:szCs w:val="24"/>
              </w:rPr>
            </w:pPr>
            <w:r w:rsidRPr="001465A7">
              <w:rPr>
                <w:rFonts w:cs="Arial"/>
                <w:szCs w:val="24"/>
              </w:rPr>
              <w:t xml:space="preserve">The borough’s biodiversity will be protected and enhanced, with greenbelt and MOL land becoming a thriving example of biodiversity uplift. </w:t>
            </w:r>
            <w:r w:rsidRPr="001465A7">
              <w:rPr>
                <w:rFonts w:cs="Arial"/>
                <w:szCs w:val="24"/>
              </w:rPr>
              <w:br/>
            </w:r>
          </w:p>
        </w:tc>
      </w:tr>
      <w:tr w:rsidR="00274E64" w:rsidRPr="001465A7" w14:paraId="11062AD2" w14:textId="77777777" w:rsidTr="001465A7">
        <w:trPr>
          <w:cantSplit/>
        </w:trPr>
        <w:tc>
          <w:tcPr>
            <w:tcW w:w="1980" w:type="dxa"/>
          </w:tcPr>
          <w:p w14:paraId="586E0871" w14:textId="77777777" w:rsidR="00274E64" w:rsidRPr="001465A7" w:rsidRDefault="00274E64">
            <w:pPr>
              <w:rPr>
                <w:rFonts w:cs="Arial"/>
                <w:b/>
                <w:bCs/>
                <w:szCs w:val="24"/>
              </w:rPr>
            </w:pPr>
            <w:r w:rsidRPr="001465A7">
              <w:rPr>
                <w:rFonts w:cs="Arial"/>
                <w:b/>
                <w:bCs/>
                <w:szCs w:val="24"/>
              </w:rPr>
              <w:lastRenderedPageBreak/>
              <w:t>Climate Emergency</w:t>
            </w:r>
          </w:p>
          <w:p w14:paraId="1046BAC9" w14:textId="77777777" w:rsidR="00274E64" w:rsidRPr="001465A7" w:rsidRDefault="00274E64">
            <w:pPr>
              <w:rPr>
                <w:rFonts w:cs="Arial"/>
                <w:szCs w:val="24"/>
              </w:rPr>
            </w:pPr>
          </w:p>
        </w:tc>
        <w:tc>
          <w:tcPr>
            <w:tcW w:w="7036" w:type="dxa"/>
          </w:tcPr>
          <w:p w14:paraId="04785B6F" w14:textId="77777777" w:rsidR="00274E64" w:rsidRPr="001465A7" w:rsidRDefault="00274E64">
            <w:pPr>
              <w:rPr>
                <w:rFonts w:cs="Arial"/>
                <w:szCs w:val="24"/>
              </w:rPr>
            </w:pPr>
            <w:r w:rsidRPr="001465A7">
              <w:rPr>
                <w:rFonts w:cs="Arial"/>
                <w:szCs w:val="24"/>
              </w:rPr>
              <w:t xml:space="preserve">Harrow will reduce its contribution to climate change through facilitating net zero development where possible, minimising our reliance on fossil fuels, promoting retrofitting and energy efficiency, and utilising sustainable design methods. Harrow will improve its resilience to climate change through adaptation. </w:t>
            </w:r>
          </w:p>
          <w:p w14:paraId="18585D76" w14:textId="77777777" w:rsidR="00274E64" w:rsidRPr="001465A7" w:rsidRDefault="00274E64">
            <w:pPr>
              <w:rPr>
                <w:rFonts w:cs="Arial"/>
                <w:szCs w:val="24"/>
              </w:rPr>
            </w:pPr>
          </w:p>
        </w:tc>
      </w:tr>
      <w:tr w:rsidR="00274E64" w:rsidRPr="001465A7" w14:paraId="7AEAE120" w14:textId="77777777" w:rsidTr="001465A7">
        <w:trPr>
          <w:cantSplit/>
        </w:trPr>
        <w:tc>
          <w:tcPr>
            <w:tcW w:w="1980" w:type="dxa"/>
          </w:tcPr>
          <w:p w14:paraId="34A5818C" w14:textId="77777777" w:rsidR="00274E64" w:rsidRPr="001465A7" w:rsidRDefault="00274E64">
            <w:pPr>
              <w:rPr>
                <w:rFonts w:cs="Arial"/>
                <w:b/>
                <w:bCs/>
                <w:szCs w:val="24"/>
              </w:rPr>
            </w:pPr>
            <w:r w:rsidRPr="001465A7">
              <w:rPr>
                <w:rFonts w:cs="Arial"/>
                <w:b/>
                <w:bCs/>
                <w:szCs w:val="24"/>
              </w:rPr>
              <w:t>Waste and Recycling</w:t>
            </w:r>
          </w:p>
          <w:p w14:paraId="4C67A7BC" w14:textId="77777777" w:rsidR="00274E64" w:rsidRPr="001465A7" w:rsidRDefault="00274E64">
            <w:pPr>
              <w:rPr>
                <w:rFonts w:cs="Arial"/>
                <w:szCs w:val="24"/>
              </w:rPr>
            </w:pPr>
          </w:p>
        </w:tc>
        <w:tc>
          <w:tcPr>
            <w:tcW w:w="7036" w:type="dxa"/>
          </w:tcPr>
          <w:p w14:paraId="3F9AA2E6" w14:textId="77777777" w:rsidR="00274E64" w:rsidRPr="001465A7" w:rsidRDefault="00274E64">
            <w:pPr>
              <w:rPr>
                <w:rFonts w:cs="Arial"/>
                <w:szCs w:val="24"/>
              </w:rPr>
            </w:pPr>
            <w:r w:rsidRPr="001465A7">
              <w:rPr>
                <w:rFonts w:cs="Arial"/>
                <w:szCs w:val="24"/>
              </w:rPr>
              <w:t xml:space="preserve">Harrow will continue to minimise waste and increase recycling rates in line with circular economy principles. </w:t>
            </w:r>
          </w:p>
          <w:p w14:paraId="2A6835F6" w14:textId="77777777" w:rsidR="00274E64" w:rsidRPr="001465A7" w:rsidRDefault="00274E64">
            <w:pPr>
              <w:rPr>
                <w:rFonts w:cs="Arial"/>
                <w:szCs w:val="24"/>
              </w:rPr>
            </w:pPr>
          </w:p>
        </w:tc>
      </w:tr>
      <w:tr w:rsidR="00274E64" w:rsidRPr="001465A7" w14:paraId="3E43D497" w14:textId="77777777" w:rsidTr="001465A7">
        <w:trPr>
          <w:cantSplit/>
        </w:trPr>
        <w:tc>
          <w:tcPr>
            <w:tcW w:w="1980" w:type="dxa"/>
          </w:tcPr>
          <w:p w14:paraId="1FCB82C3" w14:textId="77777777" w:rsidR="00274E64" w:rsidRPr="001465A7" w:rsidRDefault="00274E64">
            <w:pPr>
              <w:rPr>
                <w:rFonts w:cs="Arial"/>
                <w:b/>
                <w:bCs/>
                <w:szCs w:val="24"/>
              </w:rPr>
            </w:pPr>
            <w:r w:rsidRPr="001465A7">
              <w:rPr>
                <w:rFonts w:cs="Arial"/>
                <w:b/>
                <w:bCs/>
                <w:szCs w:val="24"/>
              </w:rPr>
              <w:t>Housing</w:t>
            </w:r>
          </w:p>
          <w:p w14:paraId="5D642950" w14:textId="77777777" w:rsidR="00274E64" w:rsidRPr="001465A7" w:rsidRDefault="00274E64">
            <w:pPr>
              <w:rPr>
                <w:rFonts w:cs="Arial"/>
                <w:szCs w:val="24"/>
              </w:rPr>
            </w:pPr>
          </w:p>
          <w:p w14:paraId="6691BDEC" w14:textId="77777777" w:rsidR="00274E64" w:rsidRPr="001465A7" w:rsidRDefault="00274E64">
            <w:pPr>
              <w:rPr>
                <w:rFonts w:cs="Arial"/>
                <w:szCs w:val="24"/>
              </w:rPr>
            </w:pPr>
          </w:p>
        </w:tc>
        <w:tc>
          <w:tcPr>
            <w:tcW w:w="7036" w:type="dxa"/>
          </w:tcPr>
          <w:p w14:paraId="002FFB1A" w14:textId="77777777" w:rsidR="00274E64" w:rsidRPr="001465A7" w:rsidRDefault="00274E64">
            <w:pPr>
              <w:rPr>
                <w:rFonts w:cs="Arial"/>
                <w:szCs w:val="24"/>
              </w:rPr>
            </w:pPr>
            <w:r w:rsidRPr="001465A7">
              <w:rPr>
                <w:rFonts w:cs="Arial"/>
                <w:szCs w:val="24"/>
              </w:rPr>
              <w:t xml:space="preserve">Harrow will facilitate the delivery of new housing from a range of sources to meet the diverse range of housing needs of a growing population and demographic changes. This will be located within the most sustainable locations of the Borough such as the opportunity area, town centres and sustainable locations to protect, enhance and positively evolve the character of the suburbs. </w:t>
            </w:r>
          </w:p>
          <w:p w14:paraId="4BC0CB4B" w14:textId="77777777" w:rsidR="00274E64" w:rsidRPr="001465A7" w:rsidRDefault="00274E64">
            <w:pPr>
              <w:rPr>
                <w:rFonts w:cs="Arial"/>
                <w:szCs w:val="24"/>
              </w:rPr>
            </w:pPr>
          </w:p>
        </w:tc>
      </w:tr>
      <w:tr w:rsidR="00274E64" w:rsidRPr="001465A7" w14:paraId="3CF99C2A" w14:textId="77777777" w:rsidTr="001465A7">
        <w:trPr>
          <w:cantSplit/>
        </w:trPr>
        <w:tc>
          <w:tcPr>
            <w:tcW w:w="1980" w:type="dxa"/>
          </w:tcPr>
          <w:p w14:paraId="4B3F6CA3" w14:textId="77777777" w:rsidR="00274E64" w:rsidRPr="001465A7" w:rsidRDefault="00274E64">
            <w:pPr>
              <w:rPr>
                <w:rFonts w:cs="Arial"/>
                <w:b/>
                <w:bCs/>
                <w:szCs w:val="24"/>
              </w:rPr>
            </w:pPr>
            <w:r w:rsidRPr="001465A7">
              <w:rPr>
                <w:rFonts w:cs="Arial"/>
                <w:b/>
                <w:bCs/>
                <w:szCs w:val="24"/>
              </w:rPr>
              <w:t>Affordable Housing</w:t>
            </w:r>
          </w:p>
          <w:p w14:paraId="5B378381" w14:textId="77777777" w:rsidR="00274E64" w:rsidRPr="001465A7" w:rsidRDefault="00274E64">
            <w:pPr>
              <w:rPr>
                <w:rFonts w:cs="Arial"/>
                <w:szCs w:val="24"/>
              </w:rPr>
            </w:pPr>
          </w:p>
        </w:tc>
        <w:tc>
          <w:tcPr>
            <w:tcW w:w="7036" w:type="dxa"/>
          </w:tcPr>
          <w:p w14:paraId="7BBCC0FA" w14:textId="77777777" w:rsidR="00274E64" w:rsidRPr="001465A7" w:rsidRDefault="00274E64">
            <w:pPr>
              <w:rPr>
                <w:rFonts w:cs="Arial"/>
                <w:szCs w:val="24"/>
              </w:rPr>
            </w:pPr>
            <w:r w:rsidRPr="001465A7">
              <w:rPr>
                <w:rFonts w:cs="Arial"/>
                <w:szCs w:val="24"/>
              </w:rPr>
              <w:t xml:space="preserve">Maximise delivery of genuinely affordable housing to meet the needs of residents. </w:t>
            </w:r>
          </w:p>
          <w:p w14:paraId="13444437" w14:textId="77777777" w:rsidR="00274E64" w:rsidRPr="001465A7" w:rsidRDefault="00274E64">
            <w:pPr>
              <w:rPr>
                <w:rFonts w:cs="Arial"/>
                <w:szCs w:val="24"/>
              </w:rPr>
            </w:pPr>
          </w:p>
        </w:tc>
      </w:tr>
      <w:tr w:rsidR="00274E64" w:rsidRPr="001465A7" w14:paraId="3EF9A5EC" w14:textId="77777777" w:rsidTr="001465A7">
        <w:trPr>
          <w:cantSplit/>
        </w:trPr>
        <w:tc>
          <w:tcPr>
            <w:tcW w:w="1980" w:type="dxa"/>
          </w:tcPr>
          <w:p w14:paraId="4EE8DB36" w14:textId="77777777" w:rsidR="00274E64" w:rsidRPr="001465A7" w:rsidRDefault="00274E64">
            <w:pPr>
              <w:rPr>
                <w:rFonts w:cs="Arial"/>
                <w:b/>
                <w:bCs/>
                <w:szCs w:val="24"/>
              </w:rPr>
            </w:pPr>
            <w:r w:rsidRPr="001465A7">
              <w:rPr>
                <w:rFonts w:cs="Arial"/>
                <w:b/>
                <w:bCs/>
                <w:szCs w:val="24"/>
              </w:rPr>
              <w:t>Mixed and Inclusive Communities</w:t>
            </w:r>
          </w:p>
          <w:p w14:paraId="562E8C4B" w14:textId="77777777" w:rsidR="00274E64" w:rsidRPr="001465A7" w:rsidRDefault="00274E64">
            <w:pPr>
              <w:rPr>
                <w:rFonts w:cs="Arial"/>
                <w:szCs w:val="24"/>
              </w:rPr>
            </w:pPr>
          </w:p>
        </w:tc>
        <w:tc>
          <w:tcPr>
            <w:tcW w:w="7036" w:type="dxa"/>
          </w:tcPr>
          <w:p w14:paraId="52C905BE" w14:textId="77777777" w:rsidR="00274E64" w:rsidRPr="001465A7" w:rsidRDefault="00274E64">
            <w:pPr>
              <w:rPr>
                <w:rFonts w:cs="Arial"/>
                <w:szCs w:val="24"/>
              </w:rPr>
            </w:pPr>
            <w:r w:rsidRPr="001465A7">
              <w:rPr>
                <w:rFonts w:cs="Arial"/>
                <w:szCs w:val="24"/>
              </w:rPr>
              <w:t>Promote inclusive, mixed sustainable communities, through ensuring high standards in new housing and opportunities to build social interaction, to create cohesive, healthy communities enabling the older population to remain independent and active for longer, as well as providing specialised housing options to meet the needs of vulnerable residents.</w:t>
            </w:r>
          </w:p>
          <w:p w14:paraId="04EE2477" w14:textId="77777777" w:rsidR="00274E64" w:rsidRPr="001465A7" w:rsidRDefault="00274E64">
            <w:pPr>
              <w:rPr>
                <w:rFonts w:cs="Arial"/>
                <w:szCs w:val="24"/>
              </w:rPr>
            </w:pPr>
          </w:p>
        </w:tc>
      </w:tr>
      <w:tr w:rsidR="00274E64" w:rsidRPr="001465A7" w14:paraId="3AAF2873" w14:textId="77777777" w:rsidTr="001465A7">
        <w:trPr>
          <w:cantSplit/>
        </w:trPr>
        <w:tc>
          <w:tcPr>
            <w:tcW w:w="1980" w:type="dxa"/>
          </w:tcPr>
          <w:p w14:paraId="0A5F2D86" w14:textId="77777777" w:rsidR="00274E64" w:rsidRPr="001465A7" w:rsidRDefault="00274E64">
            <w:pPr>
              <w:rPr>
                <w:rFonts w:cs="Arial"/>
                <w:b/>
                <w:bCs/>
                <w:szCs w:val="24"/>
              </w:rPr>
            </w:pPr>
            <w:r w:rsidRPr="001465A7">
              <w:rPr>
                <w:rFonts w:cs="Arial"/>
                <w:b/>
                <w:bCs/>
                <w:szCs w:val="24"/>
              </w:rPr>
              <w:t>Housing Types</w:t>
            </w:r>
          </w:p>
          <w:p w14:paraId="0062188B" w14:textId="77777777" w:rsidR="00274E64" w:rsidRPr="001465A7" w:rsidRDefault="00274E64">
            <w:pPr>
              <w:rPr>
                <w:rFonts w:cs="Arial"/>
                <w:szCs w:val="24"/>
              </w:rPr>
            </w:pPr>
          </w:p>
        </w:tc>
        <w:tc>
          <w:tcPr>
            <w:tcW w:w="7036" w:type="dxa"/>
          </w:tcPr>
          <w:p w14:paraId="4E543C13" w14:textId="77777777" w:rsidR="00274E64" w:rsidRPr="001465A7" w:rsidRDefault="00274E64">
            <w:pPr>
              <w:rPr>
                <w:rFonts w:cs="Arial"/>
                <w:szCs w:val="24"/>
              </w:rPr>
            </w:pPr>
            <w:r w:rsidRPr="001465A7">
              <w:rPr>
                <w:rFonts w:cs="Arial"/>
                <w:szCs w:val="24"/>
              </w:rPr>
              <w:t>Promote a range of well-designed housing types and sizes, to cater for the needs of an ageing population, younger households with children, and multigenerational families.</w:t>
            </w:r>
          </w:p>
          <w:p w14:paraId="10918BDC" w14:textId="77777777" w:rsidR="00274E64" w:rsidRPr="001465A7" w:rsidRDefault="00274E64">
            <w:pPr>
              <w:rPr>
                <w:rFonts w:cs="Arial"/>
                <w:szCs w:val="24"/>
              </w:rPr>
            </w:pPr>
          </w:p>
        </w:tc>
      </w:tr>
      <w:tr w:rsidR="00274E64" w:rsidRPr="001465A7" w14:paraId="0B8FD866" w14:textId="77777777" w:rsidTr="001465A7">
        <w:trPr>
          <w:cantSplit/>
        </w:trPr>
        <w:tc>
          <w:tcPr>
            <w:tcW w:w="1980" w:type="dxa"/>
          </w:tcPr>
          <w:p w14:paraId="6CAFA016" w14:textId="77777777" w:rsidR="00274E64" w:rsidRPr="001465A7" w:rsidRDefault="00274E64">
            <w:pPr>
              <w:rPr>
                <w:rFonts w:cs="Arial"/>
                <w:b/>
                <w:bCs/>
                <w:szCs w:val="24"/>
              </w:rPr>
            </w:pPr>
            <w:r w:rsidRPr="001465A7">
              <w:rPr>
                <w:rFonts w:cs="Arial"/>
                <w:b/>
                <w:bCs/>
                <w:szCs w:val="24"/>
              </w:rPr>
              <w:t>Local Economy</w:t>
            </w:r>
          </w:p>
          <w:p w14:paraId="289D63CE" w14:textId="77777777" w:rsidR="00274E64" w:rsidRPr="001465A7" w:rsidRDefault="00274E64">
            <w:pPr>
              <w:rPr>
                <w:rFonts w:cs="Arial"/>
                <w:szCs w:val="24"/>
              </w:rPr>
            </w:pPr>
          </w:p>
        </w:tc>
        <w:tc>
          <w:tcPr>
            <w:tcW w:w="7036" w:type="dxa"/>
          </w:tcPr>
          <w:p w14:paraId="390A9A65" w14:textId="77777777" w:rsidR="00274E64" w:rsidRPr="001465A7" w:rsidRDefault="00274E64">
            <w:pPr>
              <w:rPr>
                <w:rFonts w:cs="Arial"/>
                <w:szCs w:val="24"/>
              </w:rPr>
            </w:pPr>
            <w:r w:rsidRPr="001465A7">
              <w:rPr>
                <w:rFonts w:cs="Arial"/>
                <w:szCs w:val="24"/>
              </w:rPr>
              <w:t xml:space="preserve">Harrow will continue to play an important role in the wider London economy, including cultural, </w:t>
            </w:r>
            <w:proofErr w:type="gramStart"/>
            <w:r w:rsidRPr="001465A7">
              <w:rPr>
                <w:rFonts w:cs="Arial"/>
                <w:szCs w:val="24"/>
              </w:rPr>
              <w:t>creative</w:t>
            </w:r>
            <w:proofErr w:type="gramEnd"/>
            <w:r w:rsidRPr="001465A7">
              <w:rPr>
                <w:rFonts w:cs="Arial"/>
                <w:szCs w:val="24"/>
              </w:rPr>
              <w:t xml:space="preserve"> and digital industries.</w:t>
            </w:r>
          </w:p>
          <w:p w14:paraId="66D1F63F" w14:textId="77777777" w:rsidR="00274E64" w:rsidRPr="001465A7" w:rsidRDefault="00274E64">
            <w:pPr>
              <w:rPr>
                <w:rFonts w:cs="Arial"/>
                <w:szCs w:val="24"/>
              </w:rPr>
            </w:pPr>
          </w:p>
          <w:p w14:paraId="1FE0BBC3" w14:textId="77777777" w:rsidR="00274E64" w:rsidRPr="001465A7" w:rsidRDefault="00274E64">
            <w:pPr>
              <w:rPr>
                <w:rFonts w:cs="Arial"/>
                <w:szCs w:val="24"/>
              </w:rPr>
            </w:pPr>
            <w:r w:rsidRPr="001465A7">
              <w:rPr>
                <w:rFonts w:cs="Arial"/>
                <w:szCs w:val="24"/>
              </w:rPr>
              <w:t xml:space="preserve">Employment opportunities will be retained and promoted in appropriate employment locations. </w:t>
            </w:r>
            <w:r w:rsidRPr="001465A7">
              <w:rPr>
                <w:rFonts w:cs="Arial"/>
                <w:szCs w:val="24"/>
              </w:rPr>
              <w:br/>
            </w:r>
          </w:p>
        </w:tc>
      </w:tr>
      <w:tr w:rsidR="00274E64" w:rsidRPr="001465A7" w14:paraId="511349A5" w14:textId="77777777" w:rsidTr="001465A7">
        <w:trPr>
          <w:cantSplit/>
        </w:trPr>
        <w:tc>
          <w:tcPr>
            <w:tcW w:w="1980" w:type="dxa"/>
          </w:tcPr>
          <w:p w14:paraId="286D6925" w14:textId="77777777" w:rsidR="00274E64" w:rsidRPr="001465A7" w:rsidRDefault="00274E64">
            <w:pPr>
              <w:rPr>
                <w:rFonts w:cs="Arial"/>
                <w:b/>
                <w:bCs/>
                <w:szCs w:val="24"/>
              </w:rPr>
            </w:pPr>
            <w:r w:rsidRPr="001465A7">
              <w:rPr>
                <w:rFonts w:cs="Arial"/>
                <w:b/>
                <w:bCs/>
                <w:szCs w:val="24"/>
              </w:rPr>
              <w:t>Town Centres</w:t>
            </w:r>
          </w:p>
          <w:p w14:paraId="08676ABD" w14:textId="77777777" w:rsidR="00274E64" w:rsidRPr="001465A7" w:rsidRDefault="00274E64">
            <w:pPr>
              <w:rPr>
                <w:rFonts w:cs="Arial"/>
                <w:szCs w:val="24"/>
              </w:rPr>
            </w:pPr>
          </w:p>
          <w:p w14:paraId="02769447" w14:textId="77777777" w:rsidR="00274E64" w:rsidRPr="001465A7" w:rsidRDefault="00274E64">
            <w:pPr>
              <w:rPr>
                <w:rFonts w:cs="Arial"/>
                <w:szCs w:val="24"/>
              </w:rPr>
            </w:pPr>
          </w:p>
        </w:tc>
        <w:tc>
          <w:tcPr>
            <w:tcW w:w="7036" w:type="dxa"/>
          </w:tcPr>
          <w:p w14:paraId="1A232370" w14:textId="77777777" w:rsidR="00274E64" w:rsidRPr="001465A7" w:rsidRDefault="00274E64">
            <w:pPr>
              <w:rPr>
                <w:rFonts w:cs="Arial"/>
                <w:szCs w:val="24"/>
              </w:rPr>
            </w:pPr>
            <w:r w:rsidRPr="001465A7">
              <w:rPr>
                <w:rFonts w:cs="Arial"/>
                <w:szCs w:val="24"/>
              </w:rPr>
              <w:t xml:space="preserve">Town centres will continue to be attractive, vibrant hubs for investment containing appropriate town centre uses, including thriving evening and night-time economies. </w:t>
            </w:r>
            <w:r w:rsidRPr="001465A7">
              <w:rPr>
                <w:rFonts w:cs="Arial"/>
                <w:szCs w:val="24"/>
              </w:rPr>
              <w:br/>
            </w:r>
          </w:p>
        </w:tc>
      </w:tr>
    </w:tbl>
    <w:p w14:paraId="6BFD1422" w14:textId="77777777" w:rsidR="00274E64" w:rsidRPr="009F5554" w:rsidRDefault="00274E64" w:rsidP="00274E64">
      <w:pPr>
        <w:rPr>
          <w:rFonts w:cs="Arial"/>
          <w:szCs w:val="24"/>
        </w:rPr>
      </w:pPr>
    </w:p>
    <w:p w14:paraId="21A0CCD5" w14:textId="77777777" w:rsidR="0047258F" w:rsidRDefault="0047258F" w:rsidP="00012C4A">
      <w:pPr>
        <w:pStyle w:val="Infotext"/>
        <w:rPr>
          <w:sz w:val="24"/>
          <w:szCs w:val="24"/>
        </w:rPr>
      </w:pPr>
    </w:p>
    <w:sectPr w:rsidR="0047258F" w:rsidSect="00F112A0">
      <w:footerReference w:type="default" r:id="rId19"/>
      <w:footerReference w:type="first" r:id="rId20"/>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5C66" w14:textId="77777777" w:rsidR="004061AC" w:rsidRDefault="004061AC">
      <w:r>
        <w:separator/>
      </w:r>
    </w:p>
  </w:endnote>
  <w:endnote w:type="continuationSeparator" w:id="0">
    <w:p w14:paraId="2E1D94BA" w14:textId="77777777" w:rsidR="004061AC" w:rsidRDefault="004061AC">
      <w:r>
        <w:continuationSeparator/>
      </w:r>
    </w:p>
  </w:endnote>
  <w:endnote w:type="continuationNotice" w:id="1">
    <w:p w14:paraId="7C64F09B" w14:textId="77777777" w:rsidR="004061AC" w:rsidRDefault="0040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A830" w14:textId="77777777" w:rsidR="004061AC" w:rsidRDefault="004061AC">
      <w:r>
        <w:separator/>
      </w:r>
    </w:p>
  </w:footnote>
  <w:footnote w:type="continuationSeparator" w:id="0">
    <w:p w14:paraId="674143D7" w14:textId="77777777" w:rsidR="004061AC" w:rsidRDefault="004061AC">
      <w:r>
        <w:continuationSeparator/>
      </w:r>
    </w:p>
  </w:footnote>
  <w:footnote w:type="continuationNotice" w:id="1">
    <w:p w14:paraId="69E770C8" w14:textId="77777777" w:rsidR="004061AC" w:rsidRDefault="004061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320F9"/>
    <w:multiLevelType w:val="multilevel"/>
    <w:tmpl w:val="52A60E16"/>
    <w:lvl w:ilvl="0">
      <w:start w:val="3"/>
      <w:numFmt w:val="decimal"/>
      <w:lvlText w:val="%1."/>
      <w:lvlJc w:val="left"/>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lowerLetter"/>
      <w:isLgl/>
      <w:lvlText w:val="(%4)"/>
      <w:lvlJc w:val="left"/>
      <w:pPr>
        <w:ind w:left="1440" w:hanging="1080"/>
      </w:pPr>
      <w:rPr>
        <w:rFonts w:ascii="Arial" w:eastAsia="Times New Roman" w:hAnsi="Arial" w:cs="Arial"/>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BBE22"/>
    <w:multiLevelType w:val="hybridMultilevel"/>
    <w:tmpl w:val="E8105FA8"/>
    <w:lvl w:ilvl="0" w:tplc="21F2C206">
      <w:start w:val="1"/>
      <w:numFmt w:val="bullet"/>
      <w:lvlText w:val=""/>
      <w:lvlJc w:val="left"/>
      <w:pPr>
        <w:ind w:left="720" w:hanging="360"/>
      </w:pPr>
      <w:rPr>
        <w:rFonts w:ascii="Symbol" w:hAnsi="Symbol" w:hint="default"/>
      </w:rPr>
    </w:lvl>
    <w:lvl w:ilvl="1" w:tplc="DF9044F4">
      <w:start w:val="1"/>
      <w:numFmt w:val="bullet"/>
      <w:lvlText w:val="o"/>
      <w:lvlJc w:val="left"/>
      <w:pPr>
        <w:ind w:left="1440" w:hanging="360"/>
      </w:pPr>
      <w:rPr>
        <w:rFonts w:ascii="Courier New" w:hAnsi="Courier New" w:hint="default"/>
      </w:rPr>
    </w:lvl>
    <w:lvl w:ilvl="2" w:tplc="CE2E3666">
      <w:start w:val="1"/>
      <w:numFmt w:val="bullet"/>
      <w:lvlText w:val=""/>
      <w:lvlJc w:val="left"/>
      <w:pPr>
        <w:ind w:left="2160" w:hanging="360"/>
      </w:pPr>
      <w:rPr>
        <w:rFonts w:ascii="Wingdings" w:hAnsi="Wingdings" w:hint="default"/>
      </w:rPr>
    </w:lvl>
    <w:lvl w:ilvl="3" w:tplc="638A1208">
      <w:start w:val="1"/>
      <w:numFmt w:val="bullet"/>
      <w:lvlText w:val=""/>
      <w:lvlJc w:val="left"/>
      <w:pPr>
        <w:ind w:left="2880" w:hanging="360"/>
      </w:pPr>
      <w:rPr>
        <w:rFonts w:ascii="Symbol" w:hAnsi="Symbol" w:hint="default"/>
      </w:rPr>
    </w:lvl>
    <w:lvl w:ilvl="4" w:tplc="FD9E2244">
      <w:start w:val="1"/>
      <w:numFmt w:val="bullet"/>
      <w:lvlText w:val="o"/>
      <w:lvlJc w:val="left"/>
      <w:pPr>
        <w:ind w:left="3600" w:hanging="360"/>
      </w:pPr>
      <w:rPr>
        <w:rFonts w:ascii="Courier New" w:hAnsi="Courier New" w:hint="default"/>
      </w:rPr>
    </w:lvl>
    <w:lvl w:ilvl="5" w:tplc="FCC600C6">
      <w:start w:val="1"/>
      <w:numFmt w:val="bullet"/>
      <w:lvlText w:val=""/>
      <w:lvlJc w:val="left"/>
      <w:pPr>
        <w:ind w:left="4320" w:hanging="360"/>
      </w:pPr>
      <w:rPr>
        <w:rFonts w:ascii="Wingdings" w:hAnsi="Wingdings" w:hint="default"/>
      </w:rPr>
    </w:lvl>
    <w:lvl w:ilvl="6" w:tplc="E788E1FC">
      <w:start w:val="1"/>
      <w:numFmt w:val="bullet"/>
      <w:lvlText w:val=""/>
      <w:lvlJc w:val="left"/>
      <w:pPr>
        <w:ind w:left="5040" w:hanging="360"/>
      </w:pPr>
      <w:rPr>
        <w:rFonts w:ascii="Symbol" w:hAnsi="Symbol" w:hint="default"/>
      </w:rPr>
    </w:lvl>
    <w:lvl w:ilvl="7" w:tplc="1F50A06A">
      <w:start w:val="1"/>
      <w:numFmt w:val="bullet"/>
      <w:lvlText w:val="o"/>
      <w:lvlJc w:val="left"/>
      <w:pPr>
        <w:ind w:left="5760" w:hanging="360"/>
      </w:pPr>
      <w:rPr>
        <w:rFonts w:ascii="Courier New" w:hAnsi="Courier New" w:hint="default"/>
      </w:rPr>
    </w:lvl>
    <w:lvl w:ilvl="8" w:tplc="98C2F4F8">
      <w:start w:val="1"/>
      <w:numFmt w:val="bullet"/>
      <w:lvlText w:val=""/>
      <w:lvlJc w:val="left"/>
      <w:pPr>
        <w:ind w:left="6480" w:hanging="360"/>
      </w:pPr>
      <w:rPr>
        <w:rFonts w:ascii="Wingdings" w:hAnsi="Wingdings" w:hint="default"/>
      </w:rPr>
    </w:lvl>
  </w:abstractNum>
  <w:abstractNum w:abstractNumId="7"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5CA63"/>
    <w:multiLevelType w:val="hybridMultilevel"/>
    <w:tmpl w:val="8EDE6880"/>
    <w:lvl w:ilvl="0" w:tplc="75024EFA">
      <w:start w:val="1"/>
      <w:numFmt w:val="decimal"/>
      <w:lvlText w:val="%1."/>
      <w:lvlJc w:val="left"/>
      <w:pPr>
        <w:ind w:left="720" w:hanging="360"/>
      </w:pPr>
    </w:lvl>
    <w:lvl w:ilvl="1" w:tplc="47CA86E6">
      <w:start w:val="1"/>
      <w:numFmt w:val="lowerLetter"/>
      <w:lvlText w:val="%2."/>
      <w:lvlJc w:val="left"/>
      <w:pPr>
        <w:ind w:left="1440" w:hanging="360"/>
      </w:pPr>
    </w:lvl>
    <w:lvl w:ilvl="2" w:tplc="96584A94">
      <w:start w:val="1"/>
      <w:numFmt w:val="lowerRoman"/>
      <w:lvlText w:val="%3."/>
      <w:lvlJc w:val="right"/>
      <w:pPr>
        <w:ind w:left="2160" w:hanging="180"/>
      </w:pPr>
    </w:lvl>
    <w:lvl w:ilvl="3" w:tplc="7632FB10">
      <w:start w:val="1"/>
      <w:numFmt w:val="decimal"/>
      <w:lvlText w:val="%4."/>
      <w:lvlJc w:val="left"/>
      <w:pPr>
        <w:ind w:left="2880" w:hanging="360"/>
      </w:pPr>
    </w:lvl>
    <w:lvl w:ilvl="4" w:tplc="1780FA30">
      <w:start w:val="1"/>
      <w:numFmt w:val="lowerLetter"/>
      <w:lvlText w:val="%5."/>
      <w:lvlJc w:val="left"/>
      <w:pPr>
        <w:ind w:left="3600" w:hanging="360"/>
      </w:pPr>
    </w:lvl>
    <w:lvl w:ilvl="5" w:tplc="C876E5DC">
      <w:start w:val="1"/>
      <w:numFmt w:val="lowerRoman"/>
      <w:lvlText w:val="%6."/>
      <w:lvlJc w:val="right"/>
      <w:pPr>
        <w:ind w:left="4320" w:hanging="180"/>
      </w:pPr>
    </w:lvl>
    <w:lvl w:ilvl="6" w:tplc="EF46F912">
      <w:start w:val="1"/>
      <w:numFmt w:val="decimal"/>
      <w:lvlText w:val="%7."/>
      <w:lvlJc w:val="left"/>
      <w:pPr>
        <w:ind w:left="5040" w:hanging="360"/>
      </w:pPr>
    </w:lvl>
    <w:lvl w:ilvl="7" w:tplc="C7D4B20E">
      <w:start w:val="1"/>
      <w:numFmt w:val="lowerLetter"/>
      <w:lvlText w:val="%8."/>
      <w:lvlJc w:val="left"/>
      <w:pPr>
        <w:ind w:left="5760" w:hanging="360"/>
      </w:pPr>
    </w:lvl>
    <w:lvl w:ilvl="8" w:tplc="42948CB4">
      <w:start w:val="1"/>
      <w:numFmt w:val="lowerRoman"/>
      <w:lvlText w:val="%9."/>
      <w:lvlJc w:val="right"/>
      <w:pPr>
        <w:ind w:left="6480" w:hanging="180"/>
      </w:p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1701599"/>
    <w:multiLevelType w:val="hybridMultilevel"/>
    <w:tmpl w:val="9FC27E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DA2875"/>
    <w:multiLevelType w:val="hybridMultilevel"/>
    <w:tmpl w:val="7596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9369BF"/>
    <w:multiLevelType w:val="hybridMultilevel"/>
    <w:tmpl w:val="D70C64EE"/>
    <w:lvl w:ilvl="0" w:tplc="239221A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97473"/>
    <w:multiLevelType w:val="hybridMultilevel"/>
    <w:tmpl w:val="7CB49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9"/>
  </w:num>
  <w:num w:numId="2" w16cid:durableId="1192304575">
    <w:abstractNumId w:val="31"/>
  </w:num>
  <w:num w:numId="3" w16cid:durableId="261106767">
    <w:abstractNumId w:val="14"/>
  </w:num>
  <w:num w:numId="4" w16cid:durableId="1884713565">
    <w:abstractNumId w:val="33"/>
  </w:num>
  <w:num w:numId="5" w16cid:durableId="1757633476">
    <w:abstractNumId w:val="10"/>
  </w:num>
  <w:num w:numId="6" w16cid:durableId="388575139">
    <w:abstractNumId w:val="28"/>
  </w:num>
  <w:num w:numId="7" w16cid:durableId="1943217182">
    <w:abstractNumId w:val="18"/>
  </w:num>
  <w:num w:numId="8" w16cid:durableId="576937782">
    <w:abstractNumId w:val="9"/>
  </w:num>
  <w:num w:numId="9" w16cid:durableId="1808207641">
    <w:abstractNumId w:val="8"/>
  </w:num>
  <w:num w:numId="10" w16cid:durableId="1730106153">
    <w:abstractNumId w:val="15"/>
  </w:num>
  <w:num w:numId="11" w16cid:durableId="26953244">
    <w:abstractNumId w:val="29"/>
  </w:num>
  <w:num w:numId="12" w16cid:durableId="965159230">
    <w:abstractNumId w:val="19"/>
  </w:num>
  <w:num w:numId="13" w16cid:durableId="2090075694">
    <w:abstractNumId w:val="17"/>
  </w:num>
  <w:num w:numId="14" w16cid:durableId="1976255845">
    <w:abstractNumId w:val="23"/>
  </w:num>
  <w:num w:numId="15" w16cid:durableId="786584901">
    <w:abstractNumId w:val="38"/>
  </w:num>
  <w:num w:numId="16" w16cid:durableId="11611090">
    <w:abstractNumId w:val="7"/>
  </w:num>
  <w:num w:numId="17" w16cid:durableId="230390145">
    <w:abstractNumId w:val="44"/>
  </w:num>
  <w:num w:numId="18" w16cid:durableId="482091376">
    <w:abstractNumId w:val="12"/>
  </w:num>
  <w:num w:numId="19" w16cid:durableId="498618022">
    <w:abstractNumId w:val="45"/>
  </w:num>
  <w:num w:numId="20" w16cid:durableId="1787843746">
    <w:abstractNumId w:val="20"/>
  </w:num>
  <w:num w:numId="21" w16cid:durableId="62677937">
    <w:abstractNumId w:val="27"/>
  </w:num>
  <w:num w:numId="22" w16cid:durableId="1666014572">
    <w:abstractNumId w:val="32"/>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5"/>
  </w:num>
  <w:num w:numId="26" w16cid:durableId="91971400">
    <w:abstractNumId w:val="41"/>
  </w:num>
  <w:num w:numId="27" w16cid:durableId="629676568">
    <w:abstractNumId w:val="21"/>
  </w:num>
  <w:num w:numId="28" w16cid:durableId="1379743640">
    <w:abstractNumId w:val="16"/>
  </w:num>
  <w:num w:numId="29" w16cid:durableId="337080721">
    <w:abstractNumId w:val="40"/>
  </w:num>
  <w:num w:numId="30" w16cid:durableId="54668645">
    <w:abstractNumId w:val="1"/>
  </w:num>
  <w:num w:numId="31" w16cid:durableId="159198524">
    <w:abstractNumId w:val="30"/>
  </w:num>
  <w:num w:numId="32" w16cid:durableId="1437866950">
    <w:abstractNumId w:val="5"/>
  </w:num>
  <w:num w:numId="33" w16cid:durableId="19356680">
    <w:abstractNumId w:val="4"/>
  </w:num>
  <w:num w:numId="34" w16cid:durableId="1857572590">
    <w:abstractNumId w:val="37"/>
  </w:num>
  <w:num w:numId="35" w16cid:durableId="203031267">
    <w:abstractNumId w:val="46"/>
  </w:num>
  <w:num w:numId="36" w16cid:durableId="131145500">
    <w:abstractNumId w:val="34"/>
  </w:num>
  <w:num w:numId="37" w16cid:durableId="1544058519">
    <w:abstractNumId w:val="3"/>
  </w:num>
  <w:num w:numId="38" w16cid:durableId="240990180">
    <w:abstractNumId w:val="13"/>
  </w:num>
  <w:num w:numId="39" w16cid:durableId="643196401">
    <w:abstractNumId w:val="25"/>
  </w:num>
  <w:num w:numId="40" w16cid:durableId="458911492">
    <w:abstractNumId w:val="24"/>
  </w:num>
  <w:num w:numId="41" w16cid:durableId="86662259">
    <w:abstractNumId w:val="2"/>
  </w:num>
  <w:num w:numId="42" w16cid:durableId="848905171">
    <w:abstractNumId w:val="11"/>
  </w:num>
  <w:num w:numId="43" w16cid:durableId="1868059256">
    <w:abstractNumId w:val="42"/>
  </w:num>
  <w:num w:numId="44" w16cid:durableId="1284001940">
    <w:abstractNumId w:val="6"/>
  </w:num>
  <w:num w:numId="45" w16cid:durableId="959335350">
    <w:abstractNumId w:val="22"/>
  </w:num>
  <w:num w:numId="46" w16cid:durableId="244844692">
    <w:abstractNumId w:val="0"/>
  </w:num>
  <w:num w:numId="47" w16cid:durableId="2127699661">
    <w:abstractNumId w:val="26"/>
  </w:num>
  <w:num w:numId="48" w16cid:durableId="209296712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440"/>
    <w:rsid w:val="0000297D"/>
    <w:rsid w:val="00002F68"/>
    <w:rsid w:val="00003448"/>
    <w:rsid w:val="00007A0E"/>
    <w:rsid w:val="00007FAC"/>
    <w:rsid w:val="00011339"/>
    <w:rsid w:val="00011618"/>
    <w:rsid w:val="00012C4A"/>
    <w:rsid w:val="00012D45"/>
    <w:rsid w:val="00013714"/>
    <w:rsid w:val="00013AC7"/>
    <w:rsid w:val="000164D1"/>
    <w:rsid w:val="000168D3"/>
    <w:rsid w:val="00016FBE"/>
    <w:rsid w:val="0001757F"/>
    <w:rsid w:val="00021BB5"/>
    <w:rsid w:val="00022136"/>
    <w:rsid w:val="00022448"/>
    <w:rsid w:val="00025C4E"/>
    <w:rsid w:val="00026E61"/>
    <w:rsid w:val="00035A97"/>
    <w:rsid w:val="0003618F"/>
    <w:rsid w:val="00036698"/>
    <w:rsid w:val="00040BBA"/>
    <w:rsid w:val="000412CE"/>
    <w:rsid w:val="00041881"/>
    <w:rsid w:val="00042874"/>
    <w:rsid w:val="00043468"/>
    <w:rsid w:val="00043FBC"/>
    <w:rsid w:val="00045A22"/>
    <w:rsid w:val="0005018D"/>
    <w:rsid w:val="0005330E"/>
    <w:rsid w:val="000575FB"/>
    <w:rsid w:val="00057B58"/>
    <w:rsid w:val="00060169"/>
    <w:rsid w:val="00060D64"/>
    <w:rsid w:val="0006108E"/>
    <w:rsid w:val="00062491"/>
    <w:rsid w:val="00063133"/>
    <w:rsid w:val="0006560A"/>
    <w:rsid w:val="00066BA3"/>
    <w:rsid w:val="000679E7"/>
    <w:rsid w:val="00071193"/>
    <w:rsid w:val="00074C81"/>
    <w:rsid w:val="00075E03"/>
    <w:rsid w:val="00077E79"/>
    <w:rsid w:val="00082028"/>
    <w:rsid w:val="00082348"/>
    <w:rsid w:val="00082A9A"/>
    <w:rsid w:val="00085B9B"/>
    <w:rsid w:val="00090406"/>
    <w:rsid w:val="00093EA1"/>
    <w:rsid w:val="00097243"/>
    <w:rsid w:val="000A09B4"/>
    <w:rsid w:val="000A0BE8"/>
    <w:rsid w:val="000A1E2A"/>
    <w:rsid w:val="000A3C10"/>
    <w:rsid w:val="000A3C85"/>
    <w:rsid w:val="000A3E40"/>
    <w:rsid w:val="000A3EAD"/>
    <w:rsid w:val="000A7611"/>
    <w:rsid w:val="000A782A"/>
    <w:rsid w:val="000A7954"/>
    <w:rsid w:val="000A7F20"/>
    <w:rsid w:val="000C0D73"/>
    <w:rsid w:val="000C31CE"/>
    <w:rsid w:val="000C41F2"/>
    <w:rsid w:val="000C5A4A"/>
    <w:rsid w:val="000C613B"/>
    <w:rsid w:val="000C6582"/>
    <w:rsid w:val="000C68A6"/>
    <w:rsid w:val="000C7DD5"/>
    <w:rsid w:val="000D278D"/>
    <w:rsid w:val="000D5D8B"/>
    <w:rsid w:val="000E0295"/>
    <w:rsid w:val="000E10CD"/>
    <w:rsid w:val="000E1217"/>
    <w:rsid w:val="000E1899"/>
    <w:rsid w:val="000E18E4"/>
    <w:rsid w:val="000E2671"/>
    <w:rsid w:val="000E3559"/>
    <w:rsid w:val="000E3DA6"/>
    <w:rsid w:val="000E4E88"/>
    <w:rsid w:val="000E68ED"/>
    <w:rsid w:val="000E69A4"/>
    <w:rsid w:val="000E75E8"/>
    <w:rsid w:val="000E78F9"/>
    <w:rsid w:val="000F084E"/>
    <w:rsid w:val="000F0915"/>
    <w:rsid w:val="000F1FFB"/>
    <w:rsid w:val="000F23BC"/>
    <w:rsid w:val="000F2E5D"/>
    <w:rsid w:val="000F593A"/>
    <w:rsid w:val="000F665E"/>
    <w:rsid w:val="001009B9"/>
    <w:rsid w:val="00100D96"/>
    <w:rsid w:val="0010440C"/>
    <w:rsid w:val="00104475"/>
    <w:rsid w:val="00104988"/>
    <w:rsid w:val="001049FF"/>
    <w:rsid w:val="00107AED"/>
    <w:rsid w:val="001117AB"/>
    <w:rsid w:val="00112646"/>
    <w:rsid w:val="00115E7E"/>
    <w:rsid w:val="00116D1E"/>
    <w:rsid w:val="00121217"/>
    <w:rsid w:val="0012323C"/>
    <w:rsid w:val="00124431"/>
    <w:rsid w:val="0012606E"/>
    <w:rsid w:val="00127894"/>
    <w:rsid w:val="00127C7B"/>
    <w:rsid w:val="0013368C"/>
    <w:rsid w:val="00133763"/>
    <w:rsid w:val="00135009"/>
    <w:rsid w:val="00135E7B"/>
    <w:rsid w:val="00137B32"/>
    <w:rsid w:val="00140081"/>
    <w:rsid w:val="0014076F"/>
    <w:rsid w:val="001433E5"/>
    <w:rsid w:val="00143579"/>
    <w:rsid w:val="001437D0"/>
    <w:rsid w:val="00143900"/>
    <w:rsid w:val="00143CE3"/>
    <w:rsid w:val="00143F4D"/>
    <w:rsid w:val="00144F9A"/>
    <w:rsid w:val="00145DFF"/>
    <w:rsid w:val="001465A7"/>
    <w:rsid w:val="001470F1"/>
    <w:rsid w:val="00150001"/>
    <w:rsid w:val="00150687"/>
    <w:rsid w:val="00150CA4"/>
    <w:rsid w:val="00151EE6"/>
    <w:rsid w:val="00153801"/>
    <w:rsid w:val="001550A1"/>
    <w:rsid w:val="001564B9"/>
    <w:rsid w:val="001574CE"/>
    <w:rsid w:val="0015771C"/>
    <w:rsid w:val="00160264"/>
    <w:rsid w:val="00161101"/>
    <w:rsid w:val="001618E3"/>
    <w:rsid w:val="0016249E"/>
    <w:rsid w:val="00162FBC"/>
    <w:rsid w:val="00163C25"/>
    <w:rsid w:val="001652DB"/>
    <w:rsid w:val="00167ACC"/>
    <w:rsid w:val="00172E40"/>
    <w:rsid w:val="0017406E"/>
    <w:rsid w:val="001744BA"/>
    <w:rsid w:val="00175DB5"/>
    <w:rsid w:val="001767A2"/>
    <w:rsid w:val="00176C5F"/>
    <w:rsid w:val="0017783D"/>
    <w:rsid w:val="001806AA"/>
    <w:rsid w:val="001829AF"/>
    <w:rsid w:val="00186385"/>
    <w:rsid w:val="00186710"/>
    <w:rsid w:val="001877A8"/>
    <w:rsid w:val="00191840"/>
    <w:rsid w:val="00193BCE"/>
    <w:rsid w:val="00193D97"/>
    <w:rsid w:val="00193F74"/>
    <w:rsid w:val="00195D72"/>
    <w:rsid w:val="00196FCE"/>
    <w:rsid w:val="001A4C6D"/>
    <w:rsid w:val="001A6896"/>
    <w:rsid w:val="001A6A91"/>
    <w:rsid w:val="001A6AA3"/>
    <w:rsid w:val="001A71E0"/>
    <w:rsid w:val="001A7457"/>
    <w:rsid w:val="001B1B7F"/>
    <w:rsid w:val="001B3E38"/>
    <w:rsid w:val="001B4E44"/>
    <w:rsid w:val="001B6A74"/>
    <w:rsid w:val="001B6F34"/>
    <w:rsid w:val="001B7D62"/>
    <w:rsid w:val="001B7EE2"/>
    <w:rsid w:val="001C1484"/>
    <w:rsid w:val="001C233E"/>
    <w:rsid w:val="001C2940"/>
    <w:rsid w:val="001C3956"/>
    <w:rsid w:val="001C39DB"/>
    <w:rsid w:val="001C59BF"/>
    <w:rsid w:val="001C6D73"/>
    <w:rsid w:val="001D0214"/>
    <w:rsid w:val="001D1AE6"/>
    <w:rsid w:val="001D1F6F"/>
    <w:rsid w:val="001D35E9"/>
    <w:rsid w:val="001D4706"/>
    <w:rsid w:val="001D4D4D"/>
    <w:rsid w:val="001D567A"/>
    <w:rsid w:val="001D5714"/>
    <w:rsid w:val="001D7607"/>
    <w:rsid w:val="001D785C"/>
    <w:rsid w:val="001E0FC1"/>
    <w:rsid w:val="001E1D8E"/>
    <w:rsid w:val="001E282E"/>
    <w:rsid w:val="001F01E8"/>
    <w:rsid w:val="001F1161"/>
    <w:rsid w:val="001F2106"/>
    <w:rsid w:val="001F270D"/>
    <w:rsid w:val="001F27C6"/>
    <w:rsid w:val="001F31D6"/>
    <w:rsid w:val="001F39B3"/>
    <w:rsid w:val="001F5219"/>
    <w:rsid w:val="001F6308"/>
    <w:rsid w:val="001F6561"/>
    <w:rsid w:val="00200994"/>
    <w:rsid w:val="00201A9F"/>
    <w:rsid w:val="002031E0"/>
    <w:rsid w:val="002034B3"/>
    <w:rsid w:val="00204590"/>
    <w:rsid w:val="00205E81"/>
    <w:rsid w:val="002061A9"/>
    <w:rsid w:val="00207867"/>
    <w:rsid w:val="00207D6E"/>
    <w:rsid w:val="00210601"/>
    <w:rsid w:val="00210CC3"/>
    <w:rsid w:val="0021128D"/>
    <w:rsid w:val="002145E1"/>
    <w:rsid w:val="00214763"/>
    <w:rsid w:val="002174BE"/>
    <w:rsid w:val="0022061B"/>
    <w:rsid w:val="002212EA"/>
    <w:rsid w:val="002218A4"/>
    <w:rsid w:val="00222193"/>
    <w:rsid w:val="00222DEB"/>
    <w:rsid w:val="00224F49"/>
    <w:rsid w:val="002253B2"/>
    <w:rsid w:val="002262E4"/>
    <w:rsid w:val="00230CC3"/>
    <w:rsid w:val="00234239"/>
    <w:rsid w:val="00234FCD"/>
    <w:rsid w:val="002350AD"/>
    <w:rsid w:val="002425F6"/>
    <w:rsid w:val="002449B1"/>
    <w:rsid w:val="0025035A"/>
    <w:rsid w:val="0025042B"/>
    <w:rsid w:val="0025093A"/>
    <w:rsid w:val="002521C9"/>
    <w:rsid w:val="0025320D"/>
    <w:rsid w:val="00253321"/>
    <w:rsid w:val="00253548"/>
    <w:rsid w:val="00253952"/>
    <w:rsid w:val="002541E8"/>
    <w:rsid w:val="0025583E"/>
    <w:rsid w:val="002564E5"/>
    <w:rsid w:val="002575D1"/>
    <w:rsid w:val="002612E3"/>
    <w:rsid w:val="00262236"/>
    <w:rsid w:val="002648DF"/>
    <w:rsid w:val="00274071"/>
    <w:rsid w:val="00274E64"/>
    <w:rsid w:val="00281E38"/>
    <w:rsid w:val="00283C1C"/>
    <w:rsid w:val="00284269"/>
    <w:rsid w:val="002849A2"/>
    <w:rsid w:val="00287BA3"/>
    <w:rsid w:val="00292D68"/>
    <w:rsid w:val="002934B7"/>
    <w:rsid w:val="00294275"/>
    <w:rsid w:val="00294A0B"/>
    <w:rsid w:val="00295125"/>
    <w:rsid w:val="00297721"/>
    <w:rsid w:val="002A00B4"/>
    <w:rsid w:val="002A263D"/>
    <w:rsid w:val="002A292D"/>
    <w:rsid w:val="002A2ECE"/>
    <w:rsid w:val="002A3447"/>
    <w:rsid w:val="002A50EF"/>
    <w:rsid w:val="002A5F37"/>
    <w:rsid w:val="002A64E2"/>
    <w:rsid w:val="002A6DD1"/>
    <w:rsid w:val="002A6EF5"/>
    <w:rsid w:val="002B05CA"/>
    <w:rsid w:val="002B0FBB"/>
    <w:rsid w:val="002B2C0F"/>
    <w:rsid w:val="002B587C"/>
    <w:rsid w:val="002C01CA"/>
    <w:rsid w:val="002C2DFD"/>
    <w:rsid w:val="002C39E0"/>
    <w:rsid w:val="002C4411"/>
    <w:rsid w:val="002C55BF"/>
    <w:rsid w:val="002C7577"/>
    <w:rsid w:val="002C7C83"/>
    <w:rsid w:val="002D0A58"/>
    <w:rsid w:val="002D108A"/>
    <w:rsid w:val="002D15FA"/>
    <w:rsid w:val="002D3D4D"/>
    <w:rsid w:val="002D45D5"/>
    <w:rsid w:val="002D7294"/>
    <w:rsid w:val="002D7BE3"/>
    <w:rsid w:val="002E215F"/>
    <w:rsid w:val="002E2B47"/>
    <w:rsid w:val="002E381C"/>
    <w:rsid w:val="002E3F67"/>
    <w:rsid w:val="002E47B5"/>
    <w:rsid w:val="002E5D38"/>
    <w:rsid w:val="002F0364"/>
    <w:rsid w:val="002F08A3"/>
    <w:rsid w:val="002F0916"/>
    <w:rsid w:val="002F2B2A"/>
    <w:rsid w:val="002F5673"/>
    <w:rsid w:val="002F62D0"/>
    <w:rsid w:val="002F62E4"/>
    <w:rsid w:val="0030145E"/>
    <w:rsid w:val="003035E1"/>
    <w:rsid w:val="003042A0"/>
    <w:rsid w:val="00306223"/>
    <w:rsid w:val="0030739D"/>
    <w:rsid w:val="00310634"/>
    <w:rsid w:val="003113D3"/>
    <w:rsid w:val="00313888"/>
    <w:rsid w:val="00313F3C"/>
    <w:rsid w:val="00314B9E"/>
    <w:rsid w:val="00316F92"/>
    <w:rsid w:val="00317A74"/>
    <w:rsid w:val="00317C37"/>
    <w:rsid w:val="003201CE"/>
    <w:rsid w:val="0032077A"/>
    <w:rsid w:val="00321EFD"/>
    <w:rsid w:val="00323250"/>
    <w:rsid w:val="003246E0"/>
    <w:rsid w:val="00325215"/>
    <w:rsid w:val="00326049"/>
    <w:rsid w:val="00327385"/>
    <w:rsid w:val="00330013"/>
    <w:rsid w:val="003302C1"/>
    <w:rsid w:val="00330781"/>
    <w:rsid w:val="0033161C"/>
    <w:rsid w:val="00333977"/>
    <w:rsid w:val="00333A85"/>
    <w:rsid w:val="0033449D"/>
    <w:rsid w:val="00336027"/>
    <w:rsid w:val="003366C1"/>
    <w:rsid w:val="00337734"/>
    <w:rsid w:val="0034020B"/>
    <w:rsid w:val="00341ABE"/>
    <w:rsid w:val="00342091"/>
    <w:rsid w:val="00343A10"/>
    <w:rsid w:val="00344945"/>
    <w:rsid w:val="00344DEA"/>
    <w:rsid w:val="00346F4C"/>
    <w:rsid w:val="0034748A"/>
    <w:rsid w:val="0034EA0B"/>
    <w:rsid w:val="00351304"/>
    <w:rsid w:val="00353193"/>
    <w:rsid w:val="00355AEA"/>
    <w:rsid w:val="00356159"/>
    <w:rsid w:val="00357E03"/>
    <w:rsid w:val="00360863"/>
    <w:rsid w:val="00360BE0"/>
    <w:rsid w:val="003627F1"/>
    <w:rsid w:val="003630B6"/>
    <w:rsid w:val="0036386D"/>
    <w:rsid w:val="00366F33"/>
    <w:rsid w:val="003721C8"/>
    <w:rsid w:val="003734E0"/>
    <w:rsid w:val="00376E76"/>
    <w:rsid w:val="00377263"/>
    <w:rsid w:val="0038091A"/>
    <w:rsid w:val="003816F7"/>
    <w:rsid w:val="00381734"/>
    <w:rsid w:val="003855A7"/>
    <w:rsid w:val="00386578"/>
    <w:rsid w:val="00390AF4"/>
    <w:rsid w:val="003913FD"/>
    <w:rsid w:val="0039332A"/>
    <w:rsid w:val="003933EF"/>
    <w:rsid w:val="003936AC"/>
    <w:rsid w:val="00394208"/>
    <w:rsid w:val="00394B96"/>
    <w:rsid w:val="003972EA"/>
    <w:rsid w:val="003A00F5"/>
    <w:rsid w:val="003A1AA8"/>
    <w:rsid w:val="003A2132"/>
    <w:rsid w:val="003A59D5"/>
    <w:rsid w:val="003A5EE0"/>
    <w:rsid w:val="003A69A5"/>
    <w:rsid w:val="003A7197"/>
    <w:rsid w:val="003A783B"/>
    <w:rsid w:val="003B4FC4"/>
    <w:rsid w:val="003B504A"/>
    <w:rsid w:val="003C0B02"/>
    <w:rsid w:val="003C239E"/>
    <w:rsid w:val="003C279F"/>
    <w:rsid w:val="003C679D"/>
    <w:rsid w:val="003C723A"/>
    <w:rsid w:val="003D0F7D"/>
    <w:rsid w:val="003D31C2"/>
    <w:rsid w:val="003D6D3D"/>
    <w:rsid w:val="003D78F6"/>
    <w:rsid w:val="003E0E21"/>
    <w:rsid w:val="003E33B5"/>
    <w:rsid w:val="003E5D54"/>
    <w:rsid w:val="003E6B31"/>
    <w:rsid w:val="003F031D"/>
    <w:rsid w:val="003F1A2B"/>
    <w:rsid w:val="003F1F10"/>
    <w:rsid w:val="003F238B"/>
    <w:rsid w:val="003F2C6F"/>
    <w:rsid w:val="003F4A5F"/>
    <w:rsid w:val="003F4F68"/>
    <w:rsid w:val="003F53CB"/>
    <w:rsid w:val="003F664A"/>
    <w:rsid w:val="00402A79"/>
    <w:rsid w:val="00402E49"/>
    <w:rsid w:val="00403A99"/>
    <w:rsid w:val="00405401"/>
    <w:rsid w:val="004061AC"/>
    <w:rsid w:val="0040720F"/>
    <w:rsid w:val="00407ACA"/>
    <w:rsid w:val="004109E0"/>
    <w:rsid w:val="00410C2B"/>
    <w:rsid w:val="00412C40"/>
    <w:rsid w:val="004130C7"/>
    <w:rsid w:val="00413258"/>
    <w:rsid w:val="0041364D"/>
    <w:rsid w:val="004156A1"/>
    <w:rsid w:val="00416D91"/>
    <w:rsid w:val="00416D9A"/>
    <w:rsid w:val="004229C6"/>
    <w:rsid w:val="00422CFC"/>
    <w:rsid w:val="00426609"/>
    <w:rsid w:val="004279D6"/>
    <w:rsid w:val="004302DE"/>
    <w:rsid w:val="004317DD"/>
    <w:rsid w:val="00432050"/>
    <w:rsid w:val="00432C36"/>
    <w:rsid w:val="004349DF"/>
    <w:rsid w:val="00435796"/>
    <w:rsid w:val="00436021"/>
    <w:rsid w:val="00440C38"/>
    <w:rsid w:val="00442DB4"/>
    <w:rsid w:val="00444669"/>
    <w:rsid w:val="004466E7"/>
    <w:rsid w:val="004467A5"/>
    <w:rsid w:val="00447899"/>
    <w:rsid w:val="004500CA"/>
    <w:rsid w:val="00451DA3"/>
    <w:rsid w:val="00455564"/>
    <w:rsid w:val="00456D3C"/>
    <w:rsid w:val="004575B2"/>
    <w:rsid w:val="00460059"/>
    <w:rsid w:val="00462114"/>
    <w:rsid w:val="004652CA"/>
    <w:rsid w:val="0046667B"/>
    <w:rsid w:val="004700E5"/>
    <w:rsid w:val="0047258F"/>
    <w:rsid w:val="00472BD4"/>
    <w:rsid w:val="00475E52"/>
    <w:rsid w:val="00476127"/>
    <w:rsid w:val="00481B41"/>
    <w:rsid w:val="0048257A"/>
    <w:rsid w:val="0048395D"/>
    <w:rsid w:val="004858F4"/>
    <w:rsid w:val="00486170"/>
    <w:rsid w:val="0048664A"/>
    <w:rsid w:val="004871E3"/>
    <w:rsid w:val="004879CB"/>
    <w:rsid w:val="0049070E"/>
    <w:rsid w:val="0049117D"/>
    <w:rsid w:val="00493D77"/>
    <w:rsid w:val="00495136"/>
    <w:rsid w:val="00495A95"/>
    <w:rsid w:val="004A14F7"/>
    <w:rsid w:val="004A2CFB"/>
    <w:rsid w:val="004A604B"/>
    <w:rsid w:val="004A63DF"/>
    <w:rsid w:val="004A7E5B"/>
    <w:rsid w:val="004B2AB5"/>
    <w:rsid w:val="004B5D72"/>
    <w:rsid w:val="004B60FD"/>
    <w:rsid w:val="004C0B08"/>
    <w:rsid w:val="004C1660"/>
    <w:rsid w:val="004C32F1"/>
    <w:rsid w:val="004C39C5"/>
    <w:rsid w:val="004C4617"/>
    <w:rsid w:val="004C4AD5"/>
    <w:rsid w:val="004C4CC1"/>
    <w:rsid w:val="004C558C"/>
    <w:rsid w:val="004C5899"/>
    <w:rsid w:val="004C6329"/>
    <w:rsid w:val="004C6BE0"/>
    <w:rsid w:val="004C6E60"/>
    <w:rsid w:val="004D1F0E"/>
    <w:rsid w:val="004D2A6B"/>
    <w:rsid w:val="004D3BAE"/>
    <w:rsid w:val="004D549B"/>
    <w:rsid w:val="004D744C"/>
    <w:rsid w:val="004E4261"/>
    <w:rsid w:val="004E4301"/>
    <w:rsid w:val="004E5106"/>
    <w:rsid w:val="004E5DA1"/>
    <w:rsid w:val="004E7169"/>
    <w:rsid w:val="004E78F0"/>
    <w:rsid w:val="004E7EA1"/>
    <w:rsid w:val="004F04E7"/>
    <w:rsid w:val="004F0BBD"/>
    <w:rsid w:val="004F4D83"/>
    <w:rsid w:val="004F5210"/>
    <w:rsid w:val="004F5465"/>
    <w:rsid w:val="004F602D"/>
    <w:rsid w:val="004F627D"/>
    <w:rsid w:val="004F78BC"/>
    <w:rsid w:val="00502990"/>
    <w:rsid w:val="00504D06"/>
    <w:rsid w:val="00505920"/>
    <w:rsid w:val="00505B3D"/>
    <w:rsid w:val="00505F9C"/>
    <w:rsid w:val="00506AB0"/>
    <w:rsid w:val="00506FE2"/>
    <w:rsid w:val="00512158"/>
    <w:rsid w:val="0051261A"/>
    <w:rsid w:val="00512D29"/>
    <w:rsid w:val="005141A3"/>
    <w:rsid w:val="005200DF"/>
    <w:rsid w:val="0052061D"/>
    <w:rsid w:val="0052079F"/>
    <w:rsid w:val="005235C6"/>
    <w:rsid w:val="005247D3"/>
    <w:rsid w:val="005250E6"/>
    <w:rsid w:val="00527582"/>
    <w:rsid w:val="00527689"/>
    <w:rsid w:val="00527926"/>
    <w:rsid w:val="00530FD1"/>
    <w:rsid w:val="00532942"/>
    <w:rsid w:val="005334F5"/>
    <w:rsid w:val="005337B2"/>
    <w:rsid w:val="0053395C"/>
    <w:rsid w:val="00533BEF"/>
    <w:rsid w:val="00535B22"/>
    <w:rsid w:val="00535FB1"/>
    <w:rsid w:val="00536E58"/>
    <w:rsid w:val="005400AD"/>
    <w:rsid w:val="00540C7B"/>
    <w:rsid w:val="00542964"/>
    <w:rsid w:val="005441BD"/>
    <w:rsid w:val="00544741"/>
    <w:rsid w:val="0054587F"/>
    <w:rsid w:val="00547FE5"/>
    <w:rsid w:val="00551025"/>
    <w:rsid w:val="00551213"/>
    <w:rsid w:val="005557DE"/>
    <w:rsid w:val="00557B79"/>
    <w:rsid w:val="0056035B"/>
    <w:rsid w:val="00560930"/>
    <w:rsid w:val="005619D6"/>
    <w:rsid w:val="00562713"/>
    <w:rsid w:val="00562A0F"/>
    <w:rsid w:val="00562C84"/>
    <w:rsid w:val="005630C5"/>
    <w:rsid w:val="005635EF"/>
    <w:rsid w:val="0056378C"/>
    <w:rsid w:val="00564A3B"/>
    <w:rsid w:val="005651EA"/>
    <w:rsid w:val="0056556C"/>
    <w:rsid w:val="00565B30"/>
    <w:rsid w:val="00567597"/>
    <w:rsid w:val="00567902"/>
    <w:rsid w:val="00570C71"/>
    <w:rsid w:val="0057196C"/>
    <w:rsid w:val="00572757"/>
    <w:rsid w:val="0057344E"/>
    <w:rsid w:val="00573A7B"/>
    <w:rsid w:val="00576580"/>
    <w:rsid w:val="005841C6"/>
    <w:rsid w:val="005849EB"/>
    <w:rsid w:val="00585ED6"/>
    <w:rsid w:val="00587227"/>
    <w:rsid w:val="00587D08"/>
    <w:rsid w:val="00591909"/>
    <w:rsid w:val="005924E8"/>
    <w:rsid w:val="005961BE"/>
    <w:rsid w:val="00597426"/>
    <w:rsid w:val="00597A8C"/>
    <w:rsid w:val="005A019E"/>
    <w:rsid w:val="005A1A5E"/>
    <w:rsid w:val="005A2463"/>
    <w:rsid w:val="005A7F96"/>
    <w:rsid w:val="005B19E7"/>
    <w:rsid w:val="005B2F47"/>
    <w:rsid w:val="005B3CF7"/>
    <w:rsid w:val="005B4B9D"/>
    <w:rsid w:val="005B712A"/>
    <w:rsid w:val="005C0551"/>
    <w:rsid w:val="005C0675"/>
    <w:rsid w:val="005C0841"/>
    <w:rsid w:val="005C1159"/>
    <w:rsid w:val="005C1DD9"/>
    <w:rsid w:val="005C49A2"/>
    <w:rsid w:val="005C5DD9"/>
    <w:rsid w:val="005C5F36"/>
    <w:rsid w:val="005C618A"/>
    <w:rsid w:val="005C62E9"/>
    <w:rsid w:val="005C6F92"/>
    <w:rsid w:val="005D0050"/>
    <w:rsid w:val="005D0FDA"/>
    <w:rsid w:val="005D2B54"/>
    <w:rsid w:val="005D4072"/>
    <w:rsid w:val="005D44B3"/>
    <w:rsid w:val="005D44FD"/>
    <w:rsid w:val="005D48AC"/>
    <w:rsid w:val="005D63CC"/>
    <w:rsid w:val="005E0F67"/>
    <w:rsid w:val="005E1953"/>
    <w:rsid w:val="005E21AF"/>
    <w:rsid w:val="005E255A"/>
    <w:rsid w:val="005E2BBD"/>
    <w:rsid w:val="005E4849"/>
    <w:rsid w:val="005E7949"/>
    <w:rsid w:val="005F09AB"/>
    <w:rsid w:val="005F0F5C"/>
    <w:rsid w:val="005F14D3"/>
    <w:rsid w:val="005F29CF"/>
    <w:rsid w:val="005F46FA"/>
    <w:rsid w:val="005F5698"/>
    <w:rsid w:val="005F5F7B"/>
    <w:rsid w:val="005F7409"/>
    <w:rsid w:val="006008A2"/>
    <w:rsid w:val="00601ACE"/>
    <w:rsid w:val="00602CE7"/>
    <w:rsid w:val="006046ED"/>
    <w:rsid w:val="00605BFE"/>
    <w:rsid w:val="0060678B"/>
    <w:rsid w:val="0060683D"/>
    <w:rsid w:val="0060745D"/>
    <w:rsid w:val="00607B8A"/>
    <w:rsid w:val="0060B89D"/>
    <w:rsid w:val="00610BFB"/>
    <w:rsid w:val="00611E77"/>
    <w:rsid w:val="00612424"/>
    <w:rsid w:val="00612A64"/>
    <w:rsid w:val="006132D4"/>
    <w:rsid w:val="00613B76"/>
    <w:rsid w:val="00614AA7"/>
    <w:rsid w:val="00614AB6"/>
    <w:rsid w:val="00617043"/>
    <w:rsid w:val="00617477"/>
    <w:rsid w:val="00617F63"/>
    <w:rsid w:val="006201AD"/>
    <w:rsid w:val="00620C07"/>
    <w:rsid w:val="006218AC"/>
    <w:rsid w:val="006226F4"/>
    <w:rsid w:val="00623073"/>
    <w:rsid w:val="006251AF"/>
    <w:rsid w:val="00626CBB"/>
    <w:rsid w:val="00630728"/>
    <w:rsid w:val="00632B5F"/>
    <w:rsid w:val="0063322C"/>
    <w:rsid w:val="006337B1"/>
    <w:rsid w:val="00634EB5"/>
    <w:rsid w:val="00635525"/>
    <w:rsid w:val="00635E38"/>
    <w:rsid w:val="00636B89"/>
    <w:rsid w:val="00636FD9"/>
    <w:rsid w:val="00641175"/>
    <w:rsid w:val="00641596"/>
    <w:rsid w:val="0064262B"/>
    <w:rsid w:val="00642ADD"/>
    <w:rsid w:val="00642FCF"/>
    <w:rsid w:val="0064422F"/>
    <w:rsid w:val="0064473E"/>
    <w:rsid w:val="00644AC2"/>
    <w:rsid w:val="006455C2"/>
    <w:rsid w:val="006469BA"/>
    <w:rsid w:val="00646D3C"/>
    <w:rsid w:val="00650699"/>
    <w:rsid w:val="006523AB"/>
    <w:rsid w:val="00652D3F"/>
    <w:rsid w:val="00654888"/>
    <w:rsid w:val="00654A0C"/>
    <w:rsid w:val="00654C5C"/>
    <w:rsid w:val="00654F24"/>
    <w:rsid w:val="00656C6A"/>
    <w:rsid w:val="00656F19"/>
    <w:rsid w:val="0065734B"/>
    <w:rsid w:val="00657B67"/>
    <w:rsid w:val="006648A4"/>
    <w:rsid w:val="006659F8"/>
    <w:rsid w:val="00665A12"/>
    <w:rsid w:val="00666800"/>
    <w:rsid w:val="006668DA"/>
    <w:rsid w:val="0066799D"/>
    <w:rsid w:val="00671AD9"/>
    <w:rsid w:val="006724D7"/>
    <w:rsid w:val="00674F13"/>
    <w:rsid w:val="006755EB"/>
    <w:rsid w:val="006800FF"/>
    <w:rsid w:val="00681983"/>
    <w:rsid w:val="00681C80"/>
    <w:rsid w:val="006826C3"/>
    <w:rsid w:val="00683261"/>
    <w:rsid w:val="006843EC"/>
    <w:rsid w:val="006855B6"/>
    <w:rsid w:val="00687827"/>
    <w:rsid w:val="00690974"/>
    <w:rsid w:val="00690DEA"/>
    <w:rsid w:val="00691519"/>
    <w:rsid w:val="0069219E"/>
    <w:rsid w:val="00693800"/>
    <w:rsid w:val="00695AB1"/>
    <w:rsid w:val="00697A35"/>
    <w:rsid w:val="006A630D"/>
    <w:rsid w:val="006A7572"/>
    <w:rsid w:val="006B122C"/>
    <w:rsid w:val="006B2D54"/>
    <w:rsid w:val="006B325E"/>
    <w:rsid w:val="006B50D3"/>
    <w:rsid w:val="006B5F35"/>
    <w:rsid w:val="006B7699"/>
    <w:rsid w:val="006C15BB"/>
    <w:rsid w:val="006C1884"/>
    <w:rsid w:val="006C44B7"/>
    <w:rsid w:val="006C44D8"/>
    <w:rsid w:val="006C484D"/>
    <w:rsid w:val="006C4A9F"/>
    <w:rsid w:val="006C4EF9"/>
    <w:rsid w:val="006C7554"/>
    <w:rsid w:val="006D1485"/>
    <w:rsid w:val="006D3486"/>
    <w:rsid w:val="006D357E"/>
    <w:rsid w:val="006E07B5"/>
    <w:rsid w:val="006E2535"/>
    <w:rsid w:val="006E4962"/>
    <w:rsid w:val="006E692F"/>
    <w:rsid w:val="006E7299"/>
    <w:rsid w:val="006F02FF"/>
    <w:rsid w:val="006F1E70"/>
    <w:rsid w:val="00700D3A"/>
    <w:rsid w:val="00700EEC"/>
    <w:rsid w:val="007012D1"/>
    <w:rsid w:val="0070293B"/>
    <w:rsid w:val="0070356C"/>
    <w:rsid w:val="007035CD"/>
    <w:rsid w:val="0070496A"/>
    <w:rsid w:val="00705801"/>
    <w:rsid w:val="00705F2B"/>
    <w:rsid w:val="00710670"/>
    <w:rsid w:val="007111FC"/>
    <w:rsid w:val="00712A62"/>
    <w:rsid w:val="007131F8"/>
    <w:rsid w:val="007137DC"/>
    <w:rsid w:val="00713DA0"/>
    <w:rsid w:val="00720786"/>
    <w:rsid w:val="007211EA"/>
    <w:rsid w:val="00721E35"/>
    <w:rsid w:val="0072232F"/>
    <w:rsid w:val="007227BB"/>
    <w:rsid w:val="00722A31"/>
    <w:rsid w:val="0072692E"/>
    <w:rsid w:val="00727A56"/>
    <w:rsid w:val="00727B84"/>
    <w:rsid w:val="00727D71"/>
    <w:rsid w:val="00730223"/>
    <w:rsid w:val="00731049"/>
    <w:rsid w:val="0073296A"/>
    <w:rsid w:val="00733459"/>
    <w:rsid w:val="0073457A"/>
    <w:rsid w:val="007360D4"/>
    <w:rsid w:val="007367CF"/>
    <w:rsid w:val="00737DCA"/>
    <w:rsid w:val="007410B7"/>
    <w:rsid w:val="00742A7E"/>
    <w:rsid w:val="007444C3"/>
    <w:rsid w:val="007444D0"/>
    <w:rsid w:val="00744A1A"/>
    <w:rsid w:val="00746899"/>
    <w:rsid w:val="00747AB2"/>
    <w:rsid w:val="00750CE8"/>
    <w:rsid w:val="007517E8"/>
    <w:rsid w:val="00751B56"/>
    <w:rsid w:val="00751B7B"/>
    <w:rsid w:val="00753DAE"/>
    <w:rsid w:val="00754372"/>
    <w:rsid w:val="007546CD"/>
    <w:rsid w:val="00756C21"/>
    <w:rsid w:val="00757C16"/>
    <w:rsid w:val="00760158"/>
    <w:rsid w:val="007610C3"/>
    <w:rsid w:val="007618D2"/>
    <w:rsid w:val="00762B8D"/>
    <w:rsid w:val="00764C8E"/>
    <w:rsid w:val="00767F90"/>
    <w:rsid w:val="00772CE8"/>
    <w:rsid w:val="00772FD4"/>
    <w:rsid w:val="00773158"/>
    <w:rsid w:val="0077577D"/>
    <w:rsid w:val="00776AE7"/>
    <w:rsid w:val="00776C06"/>
    <w:rsid w:val="00780A61"/>
    <w:rsid w:val="00780C8B"/>
    <w:rsid w:val="007813C7"/>
    <w:rsid w:val="00781560"/>
    <w:rsid w:val="007817BA"/>
    <w:rsid w:val="007834C7"/>
    <w:rsid w:val="00783502"/>
    <w:rsid w:val="00785027"/>
    <w:rsid w:val="00786E15"/>
    <w:rsid w:val="00787DA0"/>
    <w:rsid w:val="00791D91"/>
    <w:rsid w:val="00794231"/>
    <w:rsid w:val="00795A42"/>
    <w:rsid w:val="007963AF"/>
    <w:rsid w:val="0079711C"/>
    <w:rsid w:val="007A012E"/>
    <w:rsid w:val="007A216A"/>
    <w:rsid w:val="007A5721"/>
    <w:rsid w:val="007A7D3A"/>
    <w:rsid w:val="007B02BB"/>
    <w:rsid w:val="007B1514"/>
    <w:rsid w:val="007B203C"/>
    <w:rsid w:val="007B2A65"/>
    <w:rsid w:val="007B6DC0"/>
    <w:rsid w:val="007B72F7"/>
    <w:rsid w:val="007C04CA"/>
    <w:rsid w:val="007C400F"/>
    <w:rsid w:val="007C4B4A"/>
    <w:rsid w:val="007D12EF"/>
    <w:rsid w:val="007D1C96"/>
    <w:rsid w:val="007D1DF2"/>
    <w:rsid w:val="007D3B6B"/>
    <w:rsid w:val="007D47CA"/>
    <w:rsid w:val="007D6241"/>
    <w:rsid w:val="007D7358"/>
    <w:rsid w:val="007D7E0B"/>
    <w:rsid w:val="007E07F3"/>
    <w:rsid w:val="007E1BEC"/>
    <w:rsid w:val="007E1ED8"/>
    <w:rsid w:val="007E1F21"/>
    <w:rsid w:val="007E3928"/>
    <w:rsid w:val="007E4C8F"/>
    <w:rsid w:val="007E523F"/>
    <w:rsid w:val="007E7DF2"/>
    <w:rsid w:val="007F102D"/>
    <w:rsid w:val="007F2A48"/>
    <w:rsid w:val="007F2F00"/>
    <w:rsid w:val="007F3842"/>
    <w:rsid w:val="007F4837"/>
    <w:rsid w:val="007F6B45"/>
    <w:rsid w:val="00802A53"/>
    <w:rsid w:val="00802B70"/>
    <w:rsid w:val="00805B54"/>
    <w:rsid w:val="008118CF"/>
    <w:rsid w:val="0081262D"/>
    <w:rsid w:val="0081295B"/>
    <w:rsid w:val="00814689"/>
    <w:rsid w:val="00814D29"/>
    <w:rsid w:val="008178F1"/>
    <w:rsid w:val="00822A2B"/>
    <w:rsid w:val="00823DA6"/>
    <w:rsid w:val="00826A33"/>
    <w:rsid w:val="0082794A"/>
    <w:rsid w:val="008344C9"/>
    <w:rsid w:val="00835EB6"/>
    <w:rsid w:val="008360D9"/>
    <w:rsid w:val="00841A0F"/>
    <w:rsid w:val="008421CD"/>
    <w:rsid w:val="00843196"/>
    <w:rsid w:val="008443B3"/>
    <w:rsid w:val="008443F2"/>
    <w:rsid w:val="008452AB"/>
    <w:rsid w:val="00846EA6"/>
    <w:rsid w:val="008471B2"/>
    <w:rsid w:val="00847E9C"/>
    <w:rsid w:val="00850251"/>
    <w:rsid w:val="00851905"/>
    <w:rsid w:val="0085387F"/>
    <w:rsid w:val="008544A4"/>
    <w:rsid w:val="008555AA"/>
    <w:rsid w:val="00855AC2"/>
    <w:rsid w:val="00856F7E"/>
    <w:rsid w:val="00857415"/>
    <w:rsid w:val="00861E98"/>
    <w:rsid w:val="00863A6D"/>
    <w:rsid w:val="00864910"/>
    <w:rsid w:val="00865E90"/>
    <w:rsid w:val="00866E1D"/>
    <w:rsid w:val="00867289"/>
    <w:rsid w:val="00867341"/>
    <w:rsid w:val="008709B3"/>
    <w:rsid w:val="00873414"/>
    <w:rsid w:val="00874027"/>
    <w:rsid w:val="00874FA1"/>
    <w:rsid w:val="00875CA0"/>
    <w:rsid w:val="00875DE5"/>
    <w:rsid w:val="008774C1"/>
    <w:rsid w:val="008779ED"/>
    <w:rsid w:val="00880464"/>
    <w:rsid w:val="00881CAD"/>
    <w:rsid w:val="00882C51"/>
    <w:rsid w:val="00882D13"/>
    <w:rsid w:val="00883F31"/>
    <w:rsid w:val="00884C15"/>
    <w:rsid w:val="008857F7"/>
    <w:rsid w:val="008860AE"/>
    <w:rsid w:val="008877A0"/>
    <w:rsid w:val="00887DB3"/>
    <w:rsid w:val="00887ED3"/>
    <w:rsid w:val="0089130F"/>
    <w:rsid w:val="008920FD"/>
    <w:rsid w:val="00894637"/>
    <w:rsid w:val="00894FDB"/>
    <w:rsid w:val="008952C1"/>
    <w:rsid w:val="008A29A8"/>
    <w:rsid w:val="008A3DA2"/>
    <w:rsid w:val="008A408B"/>
    <w:rsid w:val="008A482F"/>
    <w:rsid w:val="008A630A"/>
    <w:rsid w:val="008A63AD"/>
    <w:rsid w:val="008B052C"/>
    <w:rsid w:val="008B0641"/>
    <w:rsid w:val="008B1700"/>
    <w:rsid w:val="008B173D"/>
    <w:rsid w:val="008B1FBB"/>
    <w:rsid w:val="008B26AA"/>
    <w:rsid w:val="008B5333"/>
    <w:rsid w:val="008C153F"/>
    <w:rsid w:val="008C398F"/>
    <w:rsid w:val="008C62A2"/>
    <w:rsid w:val="008D0B76"/>
    <w:rsid w:val="008D1087"/>
    <w:rsid w:val="008D1767"/>
    <w:rsid w:val="008D1960"/>
    <w:rsid w:val="008D1A11"/>
    <w:rsid w:val="008D381E"/>
    <w:rsid w:val="008D3EC4"/>
    <w:rsid w:val="008D7C63"/>
    <w:rsid w:val="008E0621"/>
    <w:rsid w:val="008E2963"/>
    <w:rsid w:val="008E32E4"/>
    <w:rsid w:val="008E5227"/>
    <w:rsid w:val="008E575C"/>
    <w:rsid w:val="008E6B3B"/>
    <w:rsid w:val="008E6BD1"/>
    <w:rsid w:val="008E71A9"/>
    <w:rsid w:val="008F0D88"/>
    <w:rsid w:val="008F1A15"/>
    <w:rsid w:val="008F30E9"/>
    <w:rsid w:val="008F7E4D"/>
    <w:rsid w:val="00902F61"/>
    <w:rsid w:val="00902FFC"/>
    <w:rsid w:val="00903693"/>
    <w:rsid w:val="00903B4F"/>
    <w:rsid w:val="00904BAE"/>
    <w:rsid w:val="00904E89"/>
    <w:rsid w:val="00907965"/>
    <w:rsid w:val="00910B15"/>
    <w:rsid w:val="00910B7B"/>
    <w:rsid w:val="009129CC"/>
    <w:rsid w:val="00912D15"/>
    <w:rsid w:val="0091544C"/>
    <w:rsid w:val="00915B3F"/>
    <w:rsid w:val="00915FD6"/>
    <w:rsid w:val="009167A8"/>
    <w:rsid w:val="00917280"/>
    <w:rsid w:val="00920A41"/>
    <w:rsid w:val="00921007"/>
    <w:rsid w:val="00921398"/>
    <w:rsid w:val="00921EEC"/>
    <w:rsid w:val="00922497"/>
    <w:rsid w:val="009238B6"/>
    <w:rsid w:val="00924FAE"/>
    <w:rsid w:val="00927109"/>
    <w:rsid w:val="009272D9"/>
    <w:rsid w:val="00927FE1"/>
    <w:rsid w:val="00931310"/>
    <w:rsid w:val="00931A33"/>
    <w:rsid w:val="00931C19"/>
    <w:rsid w:val="00931FFD"/>
    <w:rsid w:val="00932983"/>
    <w:rsid w:val="00933819"/>
    <w:rsid w:val="00934B94"/>
    <w:rsid w:val="00935530"/>
    <w:rsid w:val="0093665E"/>
    <w:rsid w:val="00937317"/>
    <w:rsid w:val="00937F74"/>
    <w:rsid w:val="00940C99"/>
    <w:rsid w:val="00940D6C"/>
    <w:rsid w:val="00941DC6"/>
    <w:rsid w:val="0094248C"/>
    <w:rsid w:val="009440BA"/>
    <w:rsid w:val="0094460D"/>
    <w:rsid w:val="0094598D"/>
    <w:rsid w:val="00945B98"/>
    <w:rsid w:val="00947B8E"/>
    <w:rsid w:val="0095156A"/>
    <w:rsid w:val="009522B7"/>
    <w:rsid w:val="00952E2A"/>
    <w:rsid w:val="00953767"/>
    <w:rsid w:val="00953A14"/>
    <w:rsid w:val="009548F9"/>
    <w:rsid w:val="009559B1"/>
    <w:rsid w:val="00955F88"/>
    <w:rsid w:val="00956871"/>
    <w:rsid w:val="00956AC3"/>
    <w:rsid w:val="009600D1"/>
    <w:rsid w:val="009623C1"/>
    <w:rsid w:val="00962FA0"/>
    <w:rsid w:val="009631FB"/>
    <w:rsid w:val="0096339C"/>
    <w:rsid w:val="00963C2D"/>
    <w:rsid w:val="00964182"/>
    <w:rsid w:val="009645F6"/>
    <w:rsid w:val="00966D48"/>
    <w:rsid w:val="009670A0"/>
    <w:rsid w:val="00967822"/>
    <w:rsid w:val="00967D25"/>
    <w:rsid w:val="00971D4C"/>
    <w:rsid w:val="00972801"/>
    <w:rsid w:val="009745E8"/>
    <w:rsid w:val="009761ED"/>
    <w:rsid w:val="00976B9E"/>
    <w:rsid w:val="009823BC"/>
    <w:rsid w:val="00982BC7"/>
    <w:rsid w:val="00985A6C"/>
    <w:rsid w:val="00986FC6"/>
    <w:rsid w:val="0099076B"/>
    <w:rsid w:val="0099090B"/>
    <w:rsid w:val="00994AA8"/>
    <w:rsid w:val="00994D63"/>
    <w:rsid w:val="009A082B"/>
    <w:rsid w:val="009A0A0D"/>
    <w:rsid w:val="009A108D"/>
    <w:rsid w:val="009A1C5D"/>
    <w:rsid w:val="009A36DC"/>
    <w:rsid w:val="009A3AC5"/>
    <w:rsid w:val="009A40D5"/>
    <w:rsid w:val="009A714B"/>
    <w:rsid w:val="009B32D9"/>
    <w:rsid w:val="009B4AD6"/>
    <w:rsid w:val="009C069E"/>
    <w:rsid w:val="009C1931"/>
    <w:rsid w:val="009C567B"/>
    <w:rsid w:val="009C5795"/>
    <w:rsid w:val="009C5D25"/>
    <w:rsid w:val="009C6515"/>
    <w:rsid w:val="009C6CAB"/>
    <w:rsid w:val="009D1E65"/>
    <w:rsid w:val="009D2B31"/>
    <w:rsid w:val="009D2B65"/>
    <w:rsid w:val="009D389C"/>
    <w:rsid w:val="009D3BFD"/>
    <w:rsid w:val="009D56DA"/>
    <w:rsid w:val="009D79C5"/>
    <w:rsid w:val="009E0BF6"/>
    <w:rsid w:val="009E2D2B"/>
    <w:rsid w:val="009E3C31"/>
    <w:rsid w:val="009E4A3E"/>
    <w:rsid w:val="009E562C"/>
    <w:rsid w:val="009E581D"/>
    <w:rsid w:val="009F14C8"/>
    <w:rsid w:val="009F289C"/>
    <w:rsid w:val="009F44D2"/>
    <w:rsid w:val="009F6A27"/>
    <w:rsid w:val="009F71DA"/>
    <w:rsid w:val="00A02C64"/>
    <w:rsid w:val="00A03A80"/>
    <w:rsid w:val="00A04319"/>
    <w:rsid w:val="00A0519F"/>
    <w:rsid w:val="00A05ABB"/>
    <w:rsid w:val="00A06811"/>
    <w:rsid w:val="00A07097"/>
    <w:rsid w:val="00A0799A"/>
    <w:rsid w:val="00A1106F"/>
    <w:rsid w:val="00A11758"/>
    <w:rsid w:val="00A118C0"/>
    <w:rsid w:val="00A137E7"/>
    <w:rsid w:val="00A13B31"/>
    <w:rsid w:val="00A1472E"/>
    <w:rsid w:val="00A15F12"/>
    <w:rsid w:val="00A20045"/>
    <w:rsid w:val="00A2102D"/>
    <w:rsid w:val="00A2454D"/>
    <w:rsid w:val="00A24E62"/>
    <w:rsid w:val="00A2582F"/>
    <w:rsid w:val="00A274AC"/>
    <w:rsid w:val="00A2764F"/>
    <w:rsid w:val="00A3034C"/>
    <w:rsid w:val="00A30A73"/>
    <w:rsid w:val="00A310CC"/>
    <w:rsid w:val="00A31154"/>
    <w:rsid w:val="00A32B69"/>
    <w:rsid w:val="00A3612C"/>
    <w:rsid w:val="00A366E9"/>
    <w:rsid w:val="00A36C30"/>
    <w:rsid w:val="00A406F3"/>
    <w:rsid w:val="00A42372"/>
    <w:rsid w:val="00A42A33"/>
    <w:rsid w:val="00A433C5"/>
    <w:rsid w:val="00A43CEC"/>
    <w:rsid w:val="00A45FA8"/>
    <w:rsid w:val="00A45FF2"/>
    <w:rsid w:val="00A46315"/>
    <w:rsid w:val="00A501C7"/>
    <w:rsid w:val="00A54ADA"/>
    <w:rsid w:val="00A55923"/>
    <w:rsid w:val="00A559CA"/>
    <w:rsid w:val="00A55C92"/>
    <w:rsid w:val="00A56101"/>
    <w:rsid w:val="00A5613C"/>
    <w:rsid w:val="00A60DA0"/>
    <w:rsid w:val="00A625D5"/>
    <w:rsid w:val="00A66832"/>
    <w:rsid w:val="00A67744"/>
    <w:rsid w:val="00A712CD"/>
    <w:rsid w:val="00A7159C"/>
    <w:rsid w:val="00A71909"/>
    <w:rsid w:val="00A734D2"/>
    <w:rsid w:val="00A737FB"/>
    <w:rsid w:val="00A76164"/>
    <w:rsid w:val="00A766E0"/>
    <w:rsid w:val="00A77171"/>
    <w:rsid w:val="00A779F1"/>
    <w:rsid w:val="00A80D3B"/>
    <w:rsid w:val="00A80F10"/>
    <w:rsid w:val="00A8213E"/>
    <w:rsid w:val="00A82A20"/>
    <w:rsid w:val="00A84979"/>
    <w:rsid w:val="00A85CB3"/>
    <w:rsid w:val="00A8620A"/>
    <w:rsid w:val="00A9130D"/>
    <w:rsid w:val="00A92A07"/>
    <w:rsid w:val="00AA0F6E"/>
    <w:rsid w:val="00AA26BE"/>
    <w:rsid w:val="00AA30B5"/>
    <w:rsid w:val="00AA3136"/>
    <w:rsid w:val="00AA34E3"/>
    <w:rsid w:val="00AA5F9B"/>
    <w:rsid w:val="00AA76CD"/>
    <w:rsid w:val="00AA7C24"/>
    <w:rsid w:val="00AB063E"/>
    <w:rsid w:val="00AB0AE1"/>
    <w:rsid w:val="00AB1753"/>
    <w:rsid w:val="00AB1F59"/>
    <w:rsid w:val="00AB28BD"/>
    <w:rsid w:val="00AB2A8D"/>
    <w:rsid w:val="00AB383E"/>
    <w:rsid w:val="00AB5E54"/>
    <w:rsid w:val="00AB78D9"/>
    <w:rsid w:val="00AC0D2E"/>
    <w:rsid w:val="00AC2CCF"/>
    <w:rsid w:val="00AC3652"/>
    <w:rsid w:val="00AC3E9D"/>
    <w:rsid w:val="00AC5383"/>
    <w:rsid w:val="00AC592C"/>
    <w:rsid w:val="00AD0079"/>
    <w:rsid w:val="00AD0D3F"/>
    <w:rsid w:val="00AD2813"/>
    <w:rsid w:val="00AD374A"/>
    <w:rsid w:val="00AD687C"/>
    <w:rsid w:val="00AE048C"/>
    <w:rsid w:val="00AE28EE"/>
    <w:rsid w:val="00AE3FEB"/>
    <w:rsid w:val="00AE452B"/>
    <w:rsid w:val="00AE5081"/>
    <w:rsid w:val="00AE7AA6"/>
    <w:rsid w:val="00AF0216"/>
    <w:rsid w:val="00AF0650"/>
    <w:rsid w:val="00AF0FC9"/>
    <w:rsid w:val="00AF0FFC"/>
    <w:rsid w:val="00AF4BB9"/>
    <w:rsid w:val="00AF60A7"/>
    <w:rsid w:val="00AF6A21"/>
    <w:rsid w:val="00AF7206"/>
    <w:rsid w:val="00AF738D"/>
    <w:rsid w:val="00AF73CB"/>
    <w:rsid w:val="00AF7822"/>
    <w:rsid w:val="00B01043"/>
    <w:rsid w:val="00B03D2C"/>
    <w:rsid w:val="00B07857"/>
    <w:rsid w:val="00B07A28"/>
    <w:rsid w:val="00B10A5E"/>
    <w:rsid w:val="00B13A59"/>
    <w:rsid w:val="00B142A6"/>
    <w:rsid w:val="00B15422"/>
    <w:rsid w:val="00B17C52"/>
    <w:rsid w:val="00B20E05"/>
    <w:rsid w:val="00B20FBE"/>
    <w:rsid w:val="00B210C6"/>
    <w:rsid w:val="00B21131"/>
    <w:rsid w:val="00B234C4"/>
    <w:rsid w:val="00B24BA5"/>
    <w:rsid w:val="00B25059"/>
    <w:rsid w:val="00B261AC"/>
    <w:rsid w:val="00B26D5D"/>
    <w:rsid w:val="00B324EA"/>
    <w:rsid w:val="00B325E1"/>
    <w:rsid w:val="00B331D5"/>
    <w:rsid w:val="00B36778"/>
    <w:rsid w:val="00B37390"/>
    <w:rsid w:val="00B37615"/>
    <w:rsid w:val="00B37E45"/>
    <w:rsid w:val="00B40898"/>
    <w:rsid w:val="00B41319"/>
    <w:rsid w:val="00B421C7"/>
    <w:rsid w:val="00B44B0B"/>
    <w:rsid w:val="00B44E2F"/>
    <w:rsid w:val="00B454D6"/>
    <w:rsid w:val="00B52F9B"/>
    <w:rsid w:val="00B53A94"/>
    <w:rsid w:val="00B53E8D"/>
    <w:rsid w:val="00B55D2F"/>
    <w:rsid w:val="00B5672C"/>
    <w:rsid w:val="00B60001"/>
    <w:rsid w:val="00B600CA"/>
    <w:rsid w:val="00B61712"/>
    <w:rsid w:val="00B61E83"/>
    <w:rsid w:val="00B623D3"/>
    <w:rsid w:val="00B62BD1"/>
    <w:rsid w:val="00B6378E"/>
    <w:rsid w:val="00B6565A"/>
    <w:rsid w:val="00B65EB5"/>
    <w:rsid w:val="00B66755"/>
    <w:rsid w:val="00B66D7C"/>
    <w:rsid w:val="00B671A7"/>
    <w:rsid w:val="00B675B8"/>
    <w:rsid w:val="00B74565"/>
    <w:rsid w:val="00B767CF"/>
    <w:rsid w:val="00B775E4"/>
    <w:rsid w:val="00B7776A"/>
    <w:rsid w:val="00B82309"/>
    <w:rsid w:val="00B8374D"/>
    <w:rsid w:val="00B838F4"/>
    <w:rsid w:val="00B83AA7"/>
    <w:rsid w:val="00B83F05"/>
    <w:rsid w:val="00B83F7E"/>
    <w:rsid w:val="00B922DE"/>
    <w:rsid w:val="00B92AA8"/>
    <w:rsid w:val="00B9380A"/>
    <w:rsid w:val="00B9469E"/>
    <w:rsid w:val="00B94801"/>
    <w:rsid w:val="00B95375"/>
    <w:rsid w:val="00B95B61"/>
    <w:rsid w:val="00BA19CB"/>
    <w:rsid w:val="00BA220C"/>
    <w:rsid w:val="00BA4258"/>
    <w:rsid w:val="00BA44D6"/>
    <w:rsid w:val="00BA4E46"/>
    <w:rsid w:val="00BA5346"/>
    <w:rsid w:val="00BA70B6"/>
    <w:rsid w:val="00BA7FBA"/>
    <w:rsid w:val="00BB101C"/>
    <w:rsid w:val="00BB1D6B"/>
    <w:rsid w:val="00BB2461"/>
    <w:rsid w:val="00BB376B"/>
    <w:rsid w:val="00BB55CA"/>
    <w:rsid w:val="00BB604C"/>
    <w:rsid w:val="00BB6AAB"/>
    <w:rsid w:val="00BB7DD3"/>
    <w:rsid w:val="00BC0B07"/>
    <w:rsid w:val="00BC10A0"/>
    <w:rsid w:val="00BC1CC7"/>
    <w:rsid w:val="00BC24FF"/>
    <w:rsid w:val="00BC2CD5"/>
    <w:rsid w:val="00BC4924"/>
    <w:rsid w:val="00BC5D9F"/>
    <w:rsid w:val="00BC6B65"/>
    <w:rsid w:val="00BD01E1"/>
    <w:rsid w:val="00BD3B12"/>
    <w:rsid w:val="00BD3E78"/>
    <w:rsid w:val="00BE3E28"/>
    <w:rsid w:val="00BE41CF"/>
    <w:rsid w:val="00BE4F49"/>
    <w:rsid w:val="00BE619B"/>
    <w:rsid w:val="00BE67E7"/>
    <w:rsid w:val="00BF3093"/>
    <w:rsid w:val="00BF3DFB"/>
    <w:rsid w:val="00BF6217"/>
    <w:rsid w:val="00BF68B8"/>
    <w:rsid w:val="00C00D3F"/>
    <w:rsid w:val="00C03052"/>
    <w:rsid w:val="00C0321C"/>
    <w:rsid w:val="00C03343"/>
    <w:rsid w:val="00C06E63"/>
    <w:rsid w:val="00C079C8"/>
    <w:rsid w:val="00C106F9"/>
    <w:rsid w:val="00C10B1C"/>
    <w:rsid w:val="00C10C60"/>
    <w:rsid w:val="00C114BC"/>
    <w:rsid w:val="00C12BB6"/>
    <w:rsid w:val="00C12DA2"/>
    <w:rsid w:val="00C13465"/>
    <w:rsid w:val="00C1430A"/>
    <w:rsid w:val="00C14AD1"/>
    <w:rsid w:val="00C15AD2"/>
    <w:rsid w:val="00C15C63"/>
    <w:rsid w:val="00C22686"/>
    <w:rsid w:val="00C257D1"/>
    <w:rsid w:val="00C26447"/>
    <w:rsid w:val="00C27189"/>
    <w:rsid w:val="00C2736A"/>
    <w:rsid w:val="00C27B8D"/>
    <w:rsid w:val="00C30ABE"/>
    <w:rsid w:val="00C316E9"/>
    <w:rsid w:val="00C34B4B"/>
    <w:rsid w:val="00C35EB3"/>
    <w:rsid w:val="00C36A5C"/>
    <w:rsid w:val="00C37118"/>
    <w:rsid w:val="00C40752"/>
    <w:rsid w:val="00C40E01"/>
    <w:rsid w:val="00C40E12"/>
    <w:rsid w:val="00C4100B"/>
    <w:rsid w:val="00C4117C"/>
    <w:rsid w:val="00C412D9"/>
    <w:rsid w:val="00C42BF5"/>
    <w:rsid w:val="00C42FD3"/>
    <w:rsid w:val="00C43F67"/>
    <w:rsid w:val="00C456CA"/>
    <w:rsid w:val="00C45BD4"/>
    <w:rsid w:val="00C53960"/>
    <w:rsid w:val="00C53C97"/>
    <w:rsid w:val="00C540B0"/>
    <w:rsid w:val="00C55590"/>
    <w:rsid w:val="00C555BA"/>
    <w:rsid w:val="00C56A03"/>
    <w:rsid w:val="00C6199B"/>
    <w:rsid w:val="00C6207C"/>
    <w:rsid w:val="00C63334"/>
    <w:rsid w:val="00C63F0B"/>
    <w:rsid w:val="00C63FE0"/>
    <w:rsid w:val="00C654BB"/>
    <w:rsid w:val="00C66624"/>
    <w:rsid w:val="00C6726A"/>
    <w:rsid w:val="00C674CF"/>
    <w:rsid w:val="00C7142E"/>
    <w:rsid w:val="00C71597"/>
    <w:rsid w:val="00C75EAE"/>
    <w:rsid w:val="00C76EF0"/>
    <w:rsid w:val="00C843D7"/>
    <w:rsid w:val="00C84812"/>
    <w:rsid w:val="00C84B9D"/>
    <w:rsid w:val="00C85390"/>
    <w:rsid w:val="00C860CD"/>
    <w:rsid w:val="00C903C0"/>
    <w:rsid w:val="00C91898"/>
    <w:rsid w:val="00C928FC"/>
    <w:rsid w:val="00C94216"/>
    <w:rsid w:val="00C94D19"/>
    <w:rsid w:val="00C962FD"/>
    <w:rsid w:val="00C97F9A"/>
    <w:rsid w:val="00C9BDF1"/>
    <w:rsid w:val="00CA3897"/>
    <w:rsid w:val="00CA4142"/>
    <w:rsid w:val="00CB1E9C"/>
    <w:rsid w:val="00CB38C6"/>
    <w:rsid w:val="00CC0335"/>
    <w:rsid w:val="00CC0927"/>
    <w:rsid w:val="00CC306F"/>
    <w:rsid w:val="00CC3B53"/>
    <w:rsid w:val="00CD16E4"/>
    <w:rsid w:val="00CD20CE"/>
    <w:rsid w:val="00CD3CC4"/>
    <w:rsid w:val="00CD7259"/>
    <w:rsid w:val="00CE15B0"/>
    <w:rsid w:val="00CE1D76"/>
    <w:rsid w:val="00CE313D"/>
    <w:rsid w:val="00CE34B9"/>
    <w:rsid w:val="00CE36D1"/>
    <w:rsid w:val="00CE376D"/>
    <w:rsid w:val="00CE4B67"/>
    <w:rsid w:val="00CE607E"/>
    <w:rsid w:val="00CE76B5"/>
    <w:rsid w:val="00CE782A"/>
    <w:rsid w:val="00CF068A"/>
    <w:rsid w:val="00CF1CC9"/>
    <w:rsid w:val="00CF1F44"/>
    <w:rsid w:val="00CF239E"/>
    <w:rsid w:val="00CF3C80"/>
    <w:rsid w:val="00CF4142"/>
    <w:rsid w:val="00CF5AF4"/>
    <w:rsid w:val="00CF5B76"/>
    <w:rsid w:val="00CF5D3A"/>
    <w:rsid w:val="00D02A0F"/>
    <w:rsid w:val="00D03BF4"/>
    <w:rsid w:val="00D10040"/>
    <w:rsid w:val="00D107B2"/>
    <w:rsid w:val="00D10E41"/>
    <w:rsid w:val="00D12333"/>
    <w:rsid w:val="00D13727"/>
    <w:rsid w:val="00D1441D"/>
    <w:rsid w:val="00D17A80"/>
    <w:rsid w:val="00D17C55"/>
    <w:rsid w:val="00D20CF5"/>
    <w:rsid w:val="00D237FA"/>
    <w:rsid w:val="00D263D5"/>
    <w:rsid w:val="00D26798"/>
    <w:rsid w:val="00D27689"/>
    <w:rsid w:val="00D27D5B"/>
    <w:rsid w:val="00D30648"/>
    <w:rsid w:val="00D3096C"/>
    <w:rsid w:val="00D30C7A"/>
    <w:rsid w:val="00D31C99"/>
    <w:rsid w:val="00D3215B"/>
    <w:rsid w:val="00D33AE8"/>
    <w:rsid w:val="00D3483F"/>
    <w:rsid w:val="00D35620"/>
    <w:rsid w:val="00D35AEC"/>
    <w:rsid w:val="00D36083"/>
    <w:rsid w:val="00D37829"/>
    <w:rsid w:val="00D42DF4"/>
    <w:rsid w:val="00D4311C"/>
    <w:rsid w:val="00D43218"/>
    <w:rsid w:val="00D43A00"/>
    <w:rsid w:val="00D47086"/>
    <w:rsid w:val="00D470E5"/>
    <w:rsid w:val="00D473F2"/>
    <w:rsid w:val="00D505B0"/>
    <w:rsid w:val="00D525FC"/>
    <w:rsid w:val="00D54435"/>
    <w:rsid w:val="00D54797"/>
    <w:rsid w:val="00D5611B"/>
    <w:rsid w:val="00D6092E"/>
    <w:rsid w:val="00D60DB9"/>
    <w:rsid w:val="00D612D2"/>
    <w:rsid w:val="00D6326F"/>
    <w:rsid w:val="00D63A79"/>
    <w:rsid w:val="00D65FB0"/>
    <w:rsid w:val="00D67B11"/>
    <w:rsid w:val="00D70C34"/>
    <w:rsid w:val="00D71715"/>
    <w:rsid w:val="00D720A4"/>
    <w:rsid w:val="00D72D13"/>
    <w:rsid w:val="00D738B3"/>
    <w:rsid w:val="00D745D0"/>
    <w:rsid w:val="00D74717"/>
    <w:rsid w:val="00D7590E"/>
    <w:rsid w:val="00D75C26"/>
    <w:rsid w:val="00D763C0"/>
    <w:rsid w:val="00D772E2"/>
    <w:rsid w:val="00D77C85"/>
    <w:rsid w:val="00D8409F"/>
    <w:rsid w:val="00D857CD"/>
    <w:rsid w:val="00D85E65"/>
    <w:rsid w:val="00D87F2B"/>
    <w:rsid w:val="00D9015B"/>
    <w:rsid w:val="00D90CC0"/>
    <w:rsid w:val="00D92BBC"/>
    <w:rsid w:val="00D930CE"/>
    <w:rsid w:val="00D942C8"/>
    <w:rsid w:val="00D94C48"/>
    <w:rsid w:val="00DA34B3"/>
    <w:rsid w:val="00DA34CE"/>
    <w:rsid w:val="00DB0152"/>
    <w:rsid w:val="00DB16B4"/>
    <w:rsid w:val="00DB16C4"/>
    <w:rsid w:val="00DB1857"/>
    <w:rsid w:val="00DB1AB3"/>
    <w:rsid w:val="00DB2AF2"/>
    <w:rsid w:val="00DC0425"/>
    <w:rsid w:val="00DC2ED1"/>
    <w:rsid w:val="00DD0F78"/>
    <w:rsid w:val="00DD263D"/>
    <w:rsid w:val="00DD5ADF"/>
    <w:rsid w:val="00DD65CF"/>
    <w:rsid w:val="00DD6F82"/>
    <w:rsid w:val="00DD7D05"/>
    <w:rsid w:val="00DE05EF"/>
    <w:rsid w:val="00DE582A"/>
    <w:rsid w:val="00DE5F33"/>
    <w:rsid w:val="00DE6CC7"/>
    <w:rsid w:val="00DF0E34"/>
    <w:rsid w:val="00DF2C22"/>
    <w:rsid w:val="00DF3278"/>
    <w:rsid w:val="00DF3284"/>
    <w:rsid w:val="00DF4690"/>
    <w:rsid w:val="00DF6540"/>
    <w:rsid w:val="00DF788D"/>
    <w:rsid w:val="00DF789E"/>
    <w:rsid w:val="00E021A2"/>
    <w:rsid w:val="00E02823"/>
    <w:rsid w:val="00E062D8"/>
    <w:rsid w:val="00E066FD"/>
    <w:rsid w:val="00E07B9C"/>
    <w:rsid w:val="00E11C49"/>
    <w:rsid w:val="00E15F02"/>
    <w:rsid w:val="00E166C5"/>
    <w:rsid w:val="00E16B52"/>
    <w:rsid w:val="00E170E2"/>
    <w:rsid w:val="00E207B7"/>
    <w:rsid w:val="00E220AC"/>
    <w:rsid w:val="00E24F99"/>
    <w:rsid w:val="00E25F94"/>
    <w:rsid w:val="00E26AA0"/>
    <w:rsid w:val="00E26D56"/>
    <w:rsid w:val="00E27C43"/>
    <w:rsid w:val="00E30B12"/>
    <w:rsid w:val="00E3214C"/>
    <w:rsid w:val="00E32948"/>
    <w:rsid w:val="00E34500"/>
    <w:rsid w:val="00E35DC3"/>
    <w:rsid w:val="00E364F1"/>
    <w:rsid w:val="00E37C3B"/>
    <w:rsid w:val="00E417E8"/>
    <w:rsid w:val="00E41B8B"/>
    <w:rsid w:val="00E41F17"/>
    <w:rsid w:val="00E42424"/>
    <w:rsid w:val="00E43C09"/>
    <w:rsid w:val="00E446E9"/>
    <w:rsid w:val="00E44D67"/>
    <w:rsid w:val="00E45E1A"/>
    <w:rsid w:val="00E4681F"/>
    <w:rsid w:val="00E50D33"/>
    <w:rsid w:val="00E52AAF"/>
    <w:rsid w:val="00E5371F"/>
    <w:rsid w:val="00E551CB"/>
    <w:rsid w:val="00E556FD"/>
    <w:rsid w:val="00E61CAA"/>
    <w:rsid w:val="00E6200A"/>
    <w:rsid w:val="00E63CE7"/>
    <w:rsid w:val="00E63F8C"/>
    <w:rsid w:val="00E6637B"/>
    <w:rsid w:val="00E664F5"/>
    <w:rsid w:val="00E66A62"/>
    <w:rsid w:val="00E67174"/>
    <w:rsid w:val="00E70AFB"/>
    <w:rsid w:val="00E70BFA"/>
    <w:rsid w:val="00E717BB"/>
    <w:rsid w:val="00E71FD8"/>
    <w:rsid w:val="00E746E3"/>
    <w:rsid w:val="00E74B90"/>
    <w:rsid w:val="00E75B1B"/>
    <w:rsid w:val="00E7601B"/>
    <w:rsid w:val="00E76740"/>
    <w:rsid w:val="00E80BC6"/>
    <w:rsid w:val="00E80CF5"/>
    <w:rsid w:val="00E84285"/>
    <w:rsid w:val="00E862B3"/>
    <w:rsid w:val="00E901CF"/>
    <w:rsid w:val="00E90DAA"/>
    <w:rsid w:val="00E91091"/>
    <w:rsid w:val="00E91983"/>
    <w:rsid w:val="00E92839"/>
    <w:rsid w:val="00E95DFE"/>
    <w:rsid w:val="00E95F27"/>
    <w:rsid w:val="00E973C7"/>
    <w:rsid w:val="00E97E4E"/>
    <w:rsid w:val="00EA5CE4"/>
    <w:rsid w:val="00EA6E87"/>
    <w:rsid w:val="00EB10E2"/>
    <w:rsid w:val="00EB645A"/>
    <w:rsid w:val="00EB6BA5"/>
    <w:rsid w:val="00EC3450"/>
    <w:rsid w:val="00EC4EDB"/>
    <w:rsid w:val="00EC6651"/>
    <w:rsid w:val="00EC6FE9"/>
    <w:rsid w:val="00ED218F"/>
    <w:rsid w:val="00ED248F"/>
    <w:rsid w:val="00ED28B7"/>
    <w:rsid w:val="00ED29EB"/>
    <w:rsid w:val="00ED583F"/>
    <w:rsid w:val="00ED724E"/>
    <w:rsid w:val="00EE1055"/>
    <w:rsid w:val="00EE1489"/>
    <w:rsid w:val="00EE166C"/>
    <w:rsid w:val="00EE194E"/>
    <w:rsid w:val="00EE2049"/>
    <w:rsid w:val="00EE2EEA"/>
    <w:rsid w:val="00EE30D5"/>
    <w:rsid w:val="00EE3B34"/>
    <w:rsid w:val="00EE3DFA"/>
    <w:rsid w:val="00EE52D0"/>
    <w:rsid w:val="00EE5327"/>
    <w:rsid w:val="00EE57C5"/>
    <w:rsid w:val="00EE5AF5"/>
    <w:rsid w:val="00EE5D9E"/>
    <w:rsid w:val="00EE661C"/>
    <w:rsid w:val="00EE7076"/>
    <w:rsid w:val="00EF0129"/>
    <w:rsid w:val="00EF0279"/>
    <w:rsid w:val="00EF3F24"/>
    <w:rsid w:val="00EF5428"/>
    <w:rsid w:val="00EF76F6"/>
    <w:rsid w:val="00EF7A44"/>
    <w:rsid w:val="00F02BF9"/>
    <w:rsid w:val="00F03F6B"/>
    <w:rsid w:val="00F0461D"/>
    <w:rsid w:val="00F04908"/>
    <w:rsid w:val="00F0743D"/>
    <w:rsid w:val="00F07490"/>
    <w:rsid w:val="00F1047E"/>
    <w:rsid w:val="00F112A0"/>
    <w:rsid w:val="00F11B70"/>
    <w:rsid w:val="00F11FE9"/>
    <w:rsid w:val="00F1222B"/>
    <w:rsid w:val="00F12E11"/>
    <w:rsid w:val="00F13F37"/>
    <w:rsid w:val="00F1655E"/>
    <w:rsid w:val="00F23AB8"/>
    <w:rsid w:val="00F23E86"/>
    <w:rsid w:val="00F242DA"/>
    <w:rsid w:val="00F26BE7"/>
    <w:rsid w:val="00F31B9A"/>
    <w:rsid w:val="00F33BFC"/>
    <w:rsid w:val="00F345D4"/>
    <w:rsid w:val="00F35564"/>
    <w:rsid w:val="00F35745"/>
    <w:rsid w:val="00F36FA9"/>
    <w:rsid w:val="00F37EAB"/>
    <w:rsid w:val="00F40C75"/>
    <w:rsid w:val="00F41BBE"/>
    <w:rsid w:val="00F41F8E"/>
    <w:rsid w:val="00F42849"/>
    <w:rsid w:val="00F4312C"/>
    <w:rsid w:val="00F43177"/>
    <w:rsid w:val="00F436FF"/>
    <w:rsid w:val="00F46180"/>
    <w:rsid w:val="00F46D03"/>
    <w:rsid w:val="00F50F3C"/>
    <w:rsid w:val="00F53539"/>
    <w:rsid w:val="00F53C75"/>
    <w:rsid w:val="00F57B0C"/>
    <w:rsid w:val="00F57B12"/>
    <w:rsid w:val="00F57B56"/>
    <w:rsid w:val="00F60A19"/>
    <w:rsid w:val="00F62788"/>
    <w:rsid w:val="00F64B9A"/>
    <w:rsid w:val="00F70F0F"/>
    <w:rsid w:val="00F73BD1"/>
    <w:rsid w:val="00F73C56"/>
    <w:rsid w:val="00F7528C"/>
    <w:rsid w:val="00F75BD2"/>
    <w:rsid w:val="00F76A77"/>
    <w:rsid w:val="00F80AA8"/>
    <w:rsid w:val="00F8187D"/>
    <w:rsid w:val="00F81CEB"/>
    <w:rsid w:val="00F83244"/>
    <w:rsid w:val="00F83BA7"/>
    <w:rsid w:val="00F84FD8"/>
    <w:rsid w:val="00F855A0"/>
    <w:rsid w:val="00F86465"/>
    <w:rsid w:val="00F872E2"/>
    <w:rsid w:val="00F87DAB"/>
    <w:rsid w:val="00F9250C"/>
    <w:rsid w:val="00F9251B"/>
    <w:rsid w:val="00F92EC3"/>
    <w:rsid w:val="00F934F5"/>
    <w:rsid w:val="00F93F70"/>
    <w:rsid w:val="00F9455C"/>
    <w:rsid w:val="00F95322"/>
    <w:rsid w:val="00F95F01"/>
    <w:rsid w:val="00FA14B7"/>
    <w:rsid w:val="00FA19EA"/>
    <w:rsid w:val="00FA1D26"/>
    <w:rsid w:val="00FA3368"/>
    <w:rsid w:val="00FA3E77"/>
    <w:rsid w:val="00FA4DBB"/>
    <w:rsid w:val="00FA6CEC"/>
    <w:rsid w:val="00FB0733"/>
    <w:rsid w:val="00FB09E3"/>
    <w:rsid w:val="00FB0BE9"/>
    <w:rsid w:val="00FB1958"/>
    <w:rsid w:val="00FB21E5"/>
    <w:rsid w:val="00FB2D05"/>
    <w:rsid w:val="00FB39AD"/>
    <w:rsid w:val="00FB53A5"/>
    <w:rsid w:val="00FB5B8B"/>
    <w:rsid w:val="00FB7020"/>
    <w:rsid w:val="00FB75D7"/>
    <w:rsid w:val="00FB7743"/>
    <w:rsid w:val="00FC0EDB"/>
    <w:rsid w:val="00FC2AC3"/>
    <w:rsid w:val="00FC2BD9"/>
    <w:rsid w:val="00FC4CC2"/>
    <w:rsid w:val="00FC6000"/>
    <w:rsid w:val="00FC6E07"/>
    <w:rsid w:val="00FD01FF"/>
    <w:rsid w:val="00FD07F9"/>
    <w:rsid w:val="00FD0A7B"/>
    <w:rsid w:val="00FD1120"/>
    <w:rsid w:val="00FD32DE"/>
    <w:rsid w:val="00FD48CB"/>
    <w:rsid w:val="00FD521C"/>
    <w:rsid w:val="00FD752A"/>
    <w:rsid w:val="00FE1ADE"/>
    <w:rsid w:val="00FE3F99"/>
    <w:rsid w:val="00FE4490"/>
    <w:rsid w:val="00FF2749"/>
    <w:rsid w:val="00FF6FB7"/>
    <w:rsid w:val="018DBB95"/>
    <w:rsid w:val="01A3BCEA"/>
    <w:rsid w:val="027E8A51"/>
    <w:rsid w:val="02A6F44C"/>
    <w:rsid w:val="045FB648"/>
    <w:rsid w:val="04BC4C95"/>
    <w:rsid w:val="04C5E6D2"/>
    <w:rsid w:val="05271DC9"/>
    <w:rsid w:val="055BA32F"/>
    <w:rsid w:val="05723043"/>
    <w:rsid w:val="06316DD0"/>
    <w:rsid w:val="06619280"/>
    <w:rsid w:val="0663E0AB"/>
    <w:rsid w:val="06772B49"/>
    <w:rsid w:val="068D39D4"/>
    <w:rsid w:val="0752060C"/>
    <w:rsid w:val="078409D7"/>
    <w:rsid w:val="07CC73E8"/>
    <w:rsid w:val="07DABA62"/>
    <w:rsid w:val="082C9712"/>
    <w:rsid w:val="08C98527"/>
    <w:rsid w:val="0949279F"/>
    <w:rsid w:val="0A4081FA"/>
    <w:rsid w:val="0B1D85CA"/>
    <w:rsid w:val="0BDFAB5F"/>
    <w:rsid w:val="0BFE8468"/>
    <w:rsid w:val="0C95A15E"/>
    <w:rsid w:val="0CD4D013"/>
    <w:rsid w:val="0D1B3260"/>
    <w:rsid w:val="0D5AEC49"/>
    <w:rsid w:val="0D751249"/>
    <w:rsid w:val="103C14ED"/>
    <w:rsid w:val="1059544F"/>
    <w:rsid w:val="107E3275"/>
    <w:rsid w:val="1093A32D"/>
    <w:rsid w:val="10A04E14"/>
    <w:rsid w:val="11D1869B"/>
    <w:rsid w:val="1209C41E"/>
    <w:rsid w:val="12814835"/>
    <w:rsid w:val="12A7B9F2"/>
    <w:rsid w:val="13343F06"/>
    <w:rsid w:val="14383931"/>
    <w:rsid w:val="14E1DA36"/>
    <w:rsid w:val="14E50BFC"/>
    <w:rsid w:val="14FE0875"/>
    <w:rsid w:val="14FFC7F0"/>
    <w:rsid w:val="1534BD90"/>
    <w:rsid w:val="156279C8"/>
    <w:rsid w:val="161412EB"/>
    <w:rsid w:val="1645845D"/>
    <w:rsid w:val="1674F3C3"/>
    <w:rsid w:val="16A0907F"/>
    <w:rsid w:val="16E8AE9C"/>
    <w:rsid w:val="175F686A"/>
    <w:rsid w:val="17CEFEFB"/>
    <w:rsid w:val="17E20F5A"/>
    <w:rsid w:val="189334B6"/>
    <w:rsid w:val="193949E6"/>
    <w:rsid w:val="19429832"/>
    <w:rsid w:val="19432FAA"/>
    <w:rsid w:val="19893B6B"/>
    <w:rsid w:val="19A93A86"/>
    <w:rsid w:val="19AE99B7"/>
    <w:rsid w:val="19F247BE"/>
    <w:rsid w:val="19FB2FDC"/>
    <w:rsid w:val="1A43A485"/>
    <w:rsid w:val="1A4BC3E1"/>
    <w:rsid w:val="1A9E9110"/>
    <w:rsid w:val="1ACCBD82"/>
    <w:rsid w:val="1AF2D530"/>
    <w:rsid w:val="1B0C7D21"/>
    <w:rsid w:val="1B306B79"/>
    <w:rsid w:val="1B3B8AC5"/>
    <w:rsid w:val="1BBC1FBF"/>
    <w:rsid w:val="1C060DE1"/>
    <w:rsid w:val="1E16D2A3"/>
    <w:rsid w:val="1E7F1421"/>
    <w:rsid w:val="1EB5ECCF"/>
    <w:rsid w:val="1F8048AD"/>
    <w:rsid w:val="1FAEA6F5"/>
    <w:rsid w:val="1FB0AAC6"/>
    <w:rsid w:val="211F4390"/>
    <w:rsid w:val="214FD358"/>
    <w:rsid w:val="215DE8CF"/>
    <w:rsid w:val="21AD5BFF"/>
    <w:rsid w:val="21FAA51B"/>
    <w:rsid w:val="2209E6B9"/>
    <w:rsid w:val="2285F3BF"/>
    <w:rsid w:val="23043571"/>
    <w:rsid w:val="2306F7F8"/>
    <w:rsid w:val="23B8C3EC"/>
    <w:rsid w:val="23E32625"/>
    <w:rsid w:val="243D897E"/>
    <w:rsid w:val="2449A236"/>
    <w:rsid w:val="2502145B"/>
    <w:rsid w:val="260DDC92"/>
    <w:rsid w:val="262E2731"/>
    <w:rsid w:val="267B163E"/>
    <w:rsid w:val="26969B80"/>
    <w:rsid w:val="2792ED0E"/>
    <w:rsid w:val="28636572"/>
    <w:rsid w:val="28704A2B"/>
    <w:rsid w:val="28F4A863"/>
    <w:rsid w:val="29175B7A"/>
    <w:rsid w:val="29380BBB"/>
    <w:rsid w:val="295D8159"/>
    <w:rsid w:val="2964A496"/>
    <w:rsid w:val="297E9641"/>
    <w:rsid w:val="298650F6"/>
    <w:rsid w:val="2989B545"/>
    <w:rsid w:val="29B417C6"/>
    <w:rsid w:val="29EEC44A"/>
    <w:rsid w:val="2ACFE00D"/>
    <w:rsid w:val="2AF87CD9"/>
    <w:rsid w:val="2B039C25"/>
    <w:rsid w:val="2B6C4746"/>
    <w:rsid w:val="2BCAB7A9"/>
    <w:rsid w:val="2CA5236A"/>
    <w:rsid w:val="2CB10C04"/>
    <w:rsid w:val="2D4AD3F3"/>
    <w:rsid w:val="2DBCFA3A"/>
    <w:rsid w:val="2E1FDEE3"/>
    <w:rsid w:val="2E246ECC"/>
    <w:rsid w:val="2E283BA8"/>
    <w:rsid w:val="2E601075"/>
    <w:rsid w:val="2E7584C4"/>
    <w:rsid w:val="2E7C7530"/>
    <w:rsid w:val="2F1CC907"/>
    <w:rsid w:val="2F3DD8F3"/>
    <w:rsid w:val="2F9113D1"/>
    <w:rsid w:val="2FCA8D36"/>
    <w:rsid w:val="3026BDE1"/>
    <w:rsid w:val="3129EAAB"/>
    <w:rsid w:val="3143AA80"/>
    <w:rsid w:val="31E932D0"/>
    <w:rsid w:val="3298F05B"/>
    <w:rsid w:val="32AD82EC"/>
    <w:rsid w:val="32CAFEBE"/>
    <w:rsid w:val="3309830B"/>
    <w:rsid w:val="33DF9AD7"/>
    <w:rsid w:val="33F8BE0A"/>
    <w:rsid w:val="340F4B1E"/>
    <w:rsid w:val="34166E5B"/>
    <w:rsid w:val="341A9CDF"/>
    <w:rsid w:val="341DC36E"/>
    <w:rsid w:val="3425AFD6"/>
    <w:rsid w:val="3469D2CD"/>
    <w:rsid w:val="34A08E0F"/>
    <w:rsid w:val="35A6C660"/>
    <w:rsid w:val="36A1C413"/>
    <w:rsid w:val="36A60C47"/>
    <w:rsid w:val="36C17FBE"/>
    <w:rsid w:val="370E7503"/>
    <w:rsid w:val="374E20B1"/>
    <w:rsid w:val="37A119B5"/>
    <w:rsid w:val="37DE55EF"/>
    <w:rsid w:val="37ECC85A"/>
    <w:rsid w:val="37FED35F"/>
    <w:rsid w:val="38052C53"/>
    <w:rsid w:val="3910F34B"/>
    <w:rsid w:val="3A20D2F8"/>
    <w:rsid w:val="3AF73EAE"/>
    <w:rsid w:val="3B398E74"/>
    <w:rsid w:val="3B522FD9"/>
    <w:rsid w:val="3BB174A6"/>
    <w:rsid w:val="3BD4E26E"/>
    <w:rsid w:val="3C0230C5"/>
    <w:rsid w:val="3C82D057"/>
    <w:rsid w:val="3D63DEF7"/>
    <w:rsid w:val="3D66AB27"/>
    <w:rsid w:val="3DB6F6BE"/>
    <w:rsid w:val="3DCF6059"/>
    <w:rsid w:val="3E460F8F"/>
    <w:rsid w:val="3E9E6911"/>
    <w:rsid w:val="3F7681DC"/>
    <w:rsid w:val="3F7D0309"/>
    <w:rsid w:val="3F8C6CC0"/>
    <w:rsid w:val="4000A190"/>
    <w:rsid w:val="402D2020"/>
    <w:rsid w:val="4036E2C6"/>
    <w:rsid w:val="40654CA1"/>
    <w:rsid w:val="408071F2"/>
    <w:rsid w:val="40A64781"/>
    <w:rsid w:val="40EB7046"/>
    <w:rsid w:val="4120FD5E"/>
    <w:rsid w:val="429034E4"/>
    <w:rsid w:val="42EBFDE2"/>
    <w:rsid w:val="4302C0CD"/>
    <w:rsid w:val="4367931C"/>
    <w:rsid w:val="442D527F"/>
    <w:rsid w:val="44463981"/>
    <w:rsid w:val="452EA895"/>
    <w:rsid w:val="45358B03"/>
    <w:rsid w:val="45D74A46"/>
    <w:rsid w:val="461919D6"/>
    <w:rsid w:val="46471E34"/>
    <w:rsid w:val="46548152"/>
    <w:rsid w:val="46564B78"/>
    <w:rsid w:val="466DE03E"/>
    <w:rsid w:val="472369DD"/>
    <w:rsid w:val="4724A365"/>
    <w:rsid w:val="47AFF209"/>
    <w:rsid w:val="47BAF962"/>
    <w:rsid w:val="480AB756"/>
    <w:rsid w:val="485DC1EE"/>
    <w:rsid w:val="485F23AF"/>
    <w:rsid w:val="488134B6"/>
    <w:rsid w:val="4894FF43"/>
    <w:rsid w:val="48B2601D"/>
    <w:rsid w:val="48D6CF04"/>
    <w:rsid w:val="49355D8F"/>
    <w:rsid w:val="49B219C5"/>
    <w:rsid w:val="49BC5615"/>
    <w:rsid w:val="4A93A906"/>
    <w:rsid w:val="4AEF42E8"/>
    <w:rsid w:val="4B6DC203"/>
    <w:rsid w:val="4B86ACF7"/>
    <w:rsid w:val="4BE0E564"/>
    <w:rsid w:val="4BE40C92"/>
    <w:rsid w:val="4C09B501"/>
    <w:rsid w:val="4C1504F2"/>
    <w:rsid w:val="4C439449"/>
    <w:rsid w:val="4C77122B"/>
    <w:rsid w:val="4C8A21C2"/>
    <w:rsid w:val="4CCDD0A0"/>
    <w:rsid w:val="4CD6D366"/>
    <w:rsid w:val="4D309B99"/>
    <w:rsid w:val="4D71FC1B"/>
    <w:rsid w:val="4DE7AE37"/>
    <w:rsid w:val="4DE7EBA0"/>
    <w:rsid w:val="4E225ABB"/>
    <w:rsid w:val="4E2CE28F"/>
    <w:rsid w:val="4E6BE531"/>
    <w:rsid w:val="4ED3849F"/>
    <w:rsid w:val="4F381FFC"/>
    <w:rsid w:val="4F66C039"/>
    <w:rsid w:val="5101623A"/>
    <w:rsid w:val="51030069"/>
    <w:rsid w:val="51629966"/>
    <w:rsid w:val="51A7E6A9"/>
    <w:rsid w:val="51BE8C70"/>
    <w:rsid w:val="52199DB1"/>
    <w:rsid w:val="537FEC8D"/>
    <w:rsid w:val="53910026"/>
    <w:rsid w:val="53A65722"/>
    <w:rsid w:val="53FC9010"/>
    <w:rsid w:val="550D810C"/>
    <w:rsid w:val="55186AD5"/>
    <w:rsid w:val="5563DB0B"/>
    <w:rsid w:val="558710E7"/>
    <w:rsid w:val="55D60CE5"/>
    <w:rsid w:val="56EA00F1"/>
    <w:rsid w:val="56FE90A1"/>
    <w:rsid w:val="577E8F2E"/>
    <w:rsid w:val="57B17665"/>
    <w:rsid w:val="57E10498"/>
    <w:rsid w:val="57F2A416"/>
    <w:rsid w:val="583C6062"/>
    <w:rsid w:val="58AF490D"/>
    <w:rsid w:val="58C22AF3"/>
    <w:rsid w:val="595D1A15"/>
    <w:rsid w:val="596E3470"/>
    <w:rsid w:val="59CA7E9D"/>
    <w:rsid w:val="59CE1A9F"/>
    <w:rsid w:val="5A0D4DA1"/>
    <w:rsid w:val="5A0DB343"/>
    <w:rsid w:val="5A540AF8"/>
    <w:rsid w:val="5A70D45A"/>
    <w:rsid w:val="5A72361B"/>
    <w:rsid w:val="5A77EDF4"/>
    <w:rsid w:val="5A88C32F"/>
    <w:rsid w:val="5A95A7E8"/>
    <w:rsid w:val="5ADDF8D6"/>
    <w:rsid w:val="5AF4AE5E"/>
    <w:rsid w:val="5B9E3D1A"/>
    <w:rsid w:val="5BDDD52E"/>
    <w:rsid w:val="5C0F029B"/>
    <w:rsid w:val="5C73480A"/>
    <w:rsid w:val="5C9E41BB"/>
    <w:rsid w:val="5CC2AC13"/>
    <w:rsid w:val="5CE863A9"/>
    <w:rsid w:val="5E335F19"/>
    <w:rsid w:val="5E51A6E2"/>
    <w:rsid w:val="5E994553"/>
    <w:rsid w:val="5EDFF576"/>
    <w:rsid w:val="5F5F0171"/>
    <w:rsid w:val="5F8C966B"/>
    <w:rsid w:val="5FF0B74C"/>
    <w:rsid w:val="602F4A5E"/>
    <w:rsid w:val="60474071"/>
    <w:rsid w:val="604FC474"/>
    <w:rsid w:val="60793621"/>
    <w:rsid w:val="60A3985A"/>
    <w:rsid w:val="60A51DA4"/>
    <w:rsid w:val="60B5F4FE"/>
    <w:rsid w:val="6107B68B"/>
    <w:rsid w:val="610D6B1E"/>
    <w:rsid w:val="61B66DE1"/>
    <w:rsid w:val="61C57ACB"/>
    <w:rsid w:val="61D507C1"/>
    <w:rsid w:val="61D98FB5"/>
    <w:rsid w:val="62846497"/>
    <w:rsid w:val="62933D9C"/>
    <w:rsid w:val="63861236"/>
    <w:rsid w:val="63B762A8"/>
    <w:rsid w:val="63E722B1"/>
    <w:rsid w:val="641DAAED"/>
    <w:rsid w:val="643FE42D"/>
    <w:rsid w:val="64800EEB"/>
    <w:rsid w:val="64CEC93E"/>
    <w:rsid w:val="64DCF94E"/>
    <w:rsid w:val="657A3C3E"/>
    <w:rsid w:val="65CB1BC7"/>
    <w:rsid w:val="66153CBA"/>
    <w:rsid w:val="66405C75"/>
    <w:rsid w:val="665434C4"/>
    <w:rsid w:val="66725454"/>
    <w:rsid w:val="668F5087"/>
    <w:rsid w:val="669B615A"/>
    <w:rsid w:val="674EA734"/>
    <w:rsid w:val="675EC139"/>
    <w:rsid w:val="678A90C6"/>
    <w:rsid w:val="67E489EF"/>
    <w:rsid w:val="6804A493"/>
    <w:rsid w:val="6806A769"/>
    <w:rsid w:val="6888C977"/>
    <w:rsid w:val="68C76DF5"/>
    <w:rsid w:val="68E956C3"/>
    <w:rsid w:val="690E67BA"/>
    <w:rsid w:val="696D8325"/>
    <w:rsid w:val="69A39C22"/>
    <w:rsid w:val="6B0690FF"/>
    <w:rsid w:val="6BAC4188"/>
    <w:rsid w:val="6BD34ABD"/>
    <w:rsid w:val="6C2E156B"/>
    <w:rsid w:val="6C46A6D5"/>
    <w:rsid w:val="6CCC37B4"/>
    <w:rsid w:val="6D2C1C6D"/>
    <w:rsid w:val="6D54EC0A"/>
    <w:rsid w:val="6D9688FA"/>
    <w:rsid w:val="6DA9302A"/>
    <w:rsid w:val="6DD8F033"/>
    <w:rsid w:val="6E0B7D5B"/>
    <w:rsid w:val="6EAF3441"/>
    <w:rsid w:val="6EC28FF9"/>
    <w:rsid w:val="6F247788"/>
    <w:rsid w:val="6FA4BD0B"/>
    <w:rsid w:val="6FEBFA78"/>
    <w:rsid w:val="70026C1D"/>
    <w:rsid w:val="7074067F"/>
    <w:rsid w:val="70D23C11"/>
    <w:rsid w:val="717DFC77"/>
    <w:rsid w:val="7191493A"/>
    <w:rsid w:val="71EF4ED8"/>
    <w:rsid w:val="721363B0"/>
    <w:rsid w:val="72259AA6"/>
    <w:rsid w:val="727E01F5"/>
    <w:rsid w:val="72A1E41A"/>
    <w:rsid w:val="72A4D877"/>
    <w:rsid w:val="735F0B04"/>
    <w:rsid w:val="73855CC2"/>
    <w:rsid w:val="73C1759F"/>
    <w:rsid w:val="743C4822"/>
    <w:rsid w:val="745DCD44"/>
    <w:rsid w:val="74F9FCB0"/>
    <w:rsid w:val="752A3A13"/>
    <w:rsid w:val="7538E69C"/>
    <w:rsid w:val="75411EAE"/>
    <w:rsid w:val="760780BC"/>
    <w:rsid w:val="76E8FEE7"/>
    <w:rsid w:val="77939D06"/>
    <w:rsid w:val="7895B10B"/>
    <w:rsid w:val="78B5F112"/>
    <w:rsid w:val="78F1350E"/>
    <w:rsid w:val="79A4939E"/>
    <w:rsid w:val="79E413A2"/>
    <w:rsid w:val="7A341122"/>
    <w:rsid w:val="7A34A3A8"/>
    <w:rsid w:val="7A487DBF"/>
    <w:rsid w:val="7A4E82BC"/>
    <w:rsid w:val="7AF5141C"/>
    <w:rsid w:val="7B455195"/>
    <w:rsid w:val="7B5A13A9"/>
    <w:rsid w:val="7B7F7139"/>
    <w:rsid w:val="7BDB280D"/>
    <w:rsid w:val="7C2907A6"/>
    <w:rsid w:val="7C7DE33E"/>
    <w:rsid w:val="7CE7ADBB"/>
    <w:rsid w:val="7DAA54C7"/>
    <w:rsid w:val="7DDA6606"/>
    <w:rsid w:val="7DDBA284"/>
    <w:rsid w:val="7EFE66CA"/>
    <w:rsid w:val="7F0BE2FB"/>
    <w:rsid w:val="7F308E9F"/>
    <w:rsid w:val="7F44F150"/>
    <w:rsid w:val="7F8EF98D"/>
    <w:rsid w:val="7FAD32CE"/>
    <w:rsid w:val="7FCE46BB"/>
    <w:rsid w:val="7FE7D3BF"/>
    <w:rsid w:val="7FFAB486"/>
    <w:rsid w:val="7FFD0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698226D4-B9EA-456F-9CC8-E5A74457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character" w:styleId="CommentReference">
    <w:name w:val="annotation reference"/>
    <w:basedOn w:val="DefaultParagraphFont"/>
    <w:semiHidden/>
    <w:unhideWhenUsed/>
    <w:rsid w:val="00C53C97"/>
    <w:rPr>
      <w:sz w:val="16"/>
      <w:szCs w:val="16"/>
    </w:rPr>
  </w:style>
  <w:style w:type="paragraph" w:styleId="CommentText">
    <w:name w:val="annotation text"/>
    <w:basedOn w:val="Normal"/>
    <w:link w:val="CommentTextChar"/>
    <w:unhideWhenUsed/>
    <w:rsid w:val="00C53C97"/>
    <w:rPr>
      <w:sz w:val="20"/>
    </w:rPr>
  </w:style>
  <w:style w:type="character" w:customStyle="1" w:styleId="CommentTextChar">
    <w:name w:val="Comment Text Char"/>
    <w:basedOn w:val="DefaultParagraphFont"/>
    <w:link w:val="CommentText"/>
    <w:rsid w:val="00C53C9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53C97"/>
    <w:rPr>
      <w:b/>
      <w:bCs/>
    </w:rPr>
  </w:style>
  <w:style w:type="character" w:customStyle="1" w:styleId="CommentSubjectChar">
    <w:name w:val="Comment Subject Char"/>
    <w:basedOn w:val="CommentTextChar"/>
    <w:link w:val="CommentSubject"/>
    <w:uiPriority w:val="99"/>
    <w:semiHidden/>
    <w:rsid w:val="00C53C97"/>
    <w:rPr>
      <w:rFonts w:ascii="Arial" w:hAnsi="Arial"/>
      <w:b/>
      <w:bCs/>
      <w:lang w:eastAsia="en-US"/>
    </w:rPr>
  </w:style>
  <w:style w:type="paragraph" w:styleId="Revision">
    <w:name w:val="Revision"/>
    <w:hidden/>
    <w:uiPriority w:val="99"/>
    <w:semiHidden/>
    <w:rsid w:val="00751B7B"/>
    <w:rPr>
      <w:rFonts w:ascii="Arial" w:hAnsi="Arial"/>
      <w:sz w:val="24"/>
      <w:lang w:eastAsia="en-US"/>
    </w:rPr>
  </w:style>
  <w:style w:type="paragraph" w:styleId="EndnoteText">
    <w:name w:val="endnote text"/>
    <w:basedOn w:val="Normal"/>
    <w:link w:val="EndnoteTextChar"/>
    <w:semiHidden/>
    <w:unhideWhenUsed/>
    <w:rsid w:val="00D42DF4"/>
    <w:rPr>
      <w:sz w:val="20"/>
    </w:rPr>
  </w:style>
  <w:style w:type="character" w:customStyle="1" w:styleId="EndnoteTextChar">
    <w:name w:val="Endnote Text Char"/>
    <w:basedOn w:val="DefaultParagraphFont"/>
    <w:link w:val="EndnoteText"/>
    <w:semiHidden/>
    <w:rsid w:val="00D42DF4"/>
    <w:rPr>
      <w:rFonts w:ascii="Arial" w:hAnsi="Arial"/>
      <w:lang w:eastAsia="en-US"/>
    </w:rPr>
  </w:style>
  <w:style w:type="character" w:styleId="EndnoteReference">
    <w:name w:val="endnote reference"/>
    <w:basedOn w:val="DefaultParagraphFont"/>
    <w:semiHidden/>
    <w:unhideWhenUsed/>
    <w:rsid w:val="00D42DF4"/>
    <w:rPr>
      <w:vertAlign w:val="superscript"/>
    </w:rPr>
  </w:style>
  <w:style w:type="table" w:styleId="TableGridLight">
    <w:name w:val="Grid Table Light"/>
    <w:basedOn w:val="TableNormal"/>
    <w:uiPriority w:val="40"/>
    <w:rsid w:val="00274E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131">
      <w:bodyDiv w:val="1"/>
      <w:marLeft w:val="0"/>
      <w:marRight w:val="0"/>
      <w:marTop w:val="0"/>
      <w:marBottom w:val="0"/>
      <w:divBdr>
        <w:top w:val="none" w:sz="0" w:space="0" w:color="auto"/>
        <w:left w:val="none" w:sz="0" w:space="0" w:color="auto"/>
        <w:bottom w:val="none" w:sz="0" w:space="0" w:color="auto"/>
        <w:right w:val="none" w:sz="0" w:space="0" w:color="auto"/>
      </w:divBdr>
    </w:div>
    <w:div w:id="226233677">
      <w:bodyDiv w:val="1"/>
      <w:marLeft w:val="0"/>
      <w:marRight w:val="0"/>
      <w:marTop w:val="0"/>
      <w:marBottom w:val="0"/>
      <w:divBdr>
        <w:top w:val="none" w:sz="0" w:space="0" w:color="auto"/>
        <w:left w:val="none" w:sz="0" w:space="0" w:color="auto"/>
        <w:bottom w:val="none" w:sz="0" w:space="0" w:color="auto"/>
        <w:right w:val="none" w:sz="0" w:space="0" w:color="auto"/>
      </w:divBdr>
    </w:div>
    <w:div w:id="300229053">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922836480">
      <w:bodyDiv w:val="1"/>
      <w:marLeft w:val="0"/>
      <w:marRight w:val="0"/>
      <w:marTop w:val="0"/>
      <w:marBottom w:val="0"/>
      <w:divBdr>
        <w:top w:val="none" w:sz="0" w:space="0" w:color="auto"/>
        <w:left w:val="none" w:sz="0" w:space="0" w:color="auto"/>
        <w:bottom w:val="none" w:sz="0" w:space="0" w:color="auto"/>
        <w:right w:val="none" w:sz="0" w:space="0" w:color="auto"/>
      </w:divBdr>
    </w:div>
    <w:div w:id="1166820657">
      <w:bodyDiv w:val="1"/>
      <w:marLeft w:val="0"/>
      <w:marRight w:val="0"/>
      <w:marTop w:val="0"/>
      <w:marBottom w:val="0"/>
      <w:divBdr>
        <w:top w:val="none" w:sz="0" w:space="0" w:color="auto"/>
        <w:left w:val="none" w:sz="0" w:space="0" w:color="auto"/>
        <w:bottom w:val="none" w:sz="0" w:space="0" w:color="auto"/>
        <w:right w:val="none" w:sz="0" w:space="0" w:color="auto"/>
      </w:divBdr>
    </w:div>
    <w:div w:id="1883402812">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gov.harrow.gov.uk/ieListDocuments.aspx?CId=249&amp;MId=65431&amp;Ver=4"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ondon.gov.uk/sites/default/files/the_london_plan_2021.pdf" TargetMode="External"/><Relationship Id="rId2" Type="http://schemas.openxmlformats.org/officeDocument/2006/relationships/customXml" Target="../customXml/item2.xml"/><Relationship Id="rId16" Type="http://schemas.openxmlformats.org/officeDocument/2006/relationships/hyperlink" Target="https://www.harrow.gov.uk/planning-develop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82995/NPPF_Sept_23.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harrow.gov.uk/ieListDocuments.aspx?CId=1487&amp;MId=65663&amp;Ver=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46365-32E7-433C-9B41-04080DDAECCB}">
  <ds:schemaRefs>
    <ds:schemaRef ds:uri="http://schemas.openxmlformats.org/officeDocument/2006/bibliography"/>
  </ds:schemaRefs>
</ds:datastoreItem>
</file>

<file path=customXml/itemProps2.xml><?xml version="1.0" encoding="utf-8"?>
<ds:datastoreItem xmlns:ds="http://schemas.openxmlformats.org/officeDocument/2006/customXml" ds:itemID="{DC8F4ACF-3590-4AFA-B6D3-758BA428D5E2}">
  <ds:schemaRefs>
    <ds:schemaRef ds:uri="48fdd5af-7127-4349-9ef8-8ec3aedfe79a"/>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d7bf0660-0b03-4216-b364-8c8e0fe7691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5872</Words>
  <Characters>33807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Rita Magdani</cp:lastModifiedBy>
  <cp:revision>2</cp:revision>
  <cp:lastPrinted>2014-11-17T08:34:00Z</cp:lastPrinted>
  <dcterms:created xsi:type="dcterms:W3CDTF">2023-10-24T10:50:00Z</dcterms:created>
  <dcterms:modified xsi:type="dcterms:W3CDTF">2023-10-24T10:50:00Z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